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"/>
        <w:gridCol w:w="9352"/>
        <w:gridCol w:w="4"/>
      </w:tblGrid>
      <w:tr w:rsidR="006141CB" w14:paraId="30E054DC" w14:textId="77777777">
        <w:trPr>
          <w:trHeight w:val="184"/>
        </w:trPr>
        <w:tc>
          <w:tcPr>
            <w:tcW w:w="15" w:type="dxa"/>
          </w:tcPr>
          <w:p w14:paraId="7D71F662" w14:textId="77777777" w:rsidR="006141CB" w:rsidRDefault="006141CB">
            <w:pPr>
              <w:pStyle w:val="EmptyCellLayoutStyle"/>
              <w:spacing w:after="0" w:line="240" w:lineRule="auto"/>
            </w:pPr>
          </w:p>
        </w:tc>
        <w:tc>
          <w:tcPr>
            <w:tcW w:w="9011" w:type="dxa"/>
          </w:tcPr>
          <w:p w14:paraId="18060604" w14:textId="77777777" w:rsidR="006141CB" w:rsidRDefault="006141CB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14:paraId="3A217709" w14:textId="77777777" w:rsidR="006141CB" w:rsidRDefault="006141CB">
            <w:pPr>
              <w:pStyle w:val="EmptyCellLayoutStyle"/>
              <w:spacing w:after="0" w:line="240" w:lineRule="auto"/>
            </w:pPr>
          </w:p>
        </w:tc>
      </w:tr>
      <w:tr w:rsidR="006141CB" w14:paraId="6C9FE330" w14:textId="77777777">
        <w:tc>
          <w:tcPr>
            <w:tcW w:w="15" w:type="dxa"/>
          </w:tcPr>
          <w:p w14:paraId="2924456E" w14:textId="77777777" w:rsidR="006141CB" w:rsidRDefault="006141CB">
            <w:pPr>
              <w:pStyle w:val="EmptyCellLayoutStyle"/>
              <w:spacing w:after="0" w:line="240" w:lineRule="auto"/>
            </w:pPr>
          </w:p>
        </w:tc>
        <w:tc>
          <w:tcPr>
            <w:tcW w:w="901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"/>
              <w:gridCol w:w="4"/>
              <w:gridCol w:w="29"/>
              <w:gridCol w:w="45"/>
              <w:gridCol w:w="2123"/>
              <w:gridCol w:w="2723"/>
              <w:gridCol w:w="2263"/>
              <w:gridCol w:w="2085"/>
              <w:gridCol w:w="68"/>
              <w:gridCol w:w="4"/>
              <w:gridCol w:w="4"/>
            </w:tblGrid>
            <w:tr w:rsidR="00983DF9" w14:paraId="2E29C540" w14:textId="77777777" w:rsidTr="00983DF9">
              <w:trPr>
                <w:trHeight w:val="814"/>
              </w:trPr>
              <w:tc>
                <w:tcPr>
                  <w:tcW w:w="26" w:type="dxa"/>
                </w:tcPr>
                <w:p w14:paraId="6F8847B4" w14:textId="77777777" w:rsidR="006141CB" w:rsidRDefault="006141C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6" w:type="dxa"/>
                </w:tcPr>
                <w:p w14:paraId="5A33ADD0" w14:textId="77777777" w:rsidR="006141CB" w:rsidRDefault="006141C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6" w:type="dxa"/>
                </w:tcPr>
                <w:p w14:paraId="0B9FF449" w14:textId="77777777" w:rsidR="006141CB" w:rsidRDefault="006141C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2" w:type="dxa"/>
                </w:tcPr>
                <w:p w14:paraId="126B4154" w14:textId="77777777" w:rsidR="006141CB" w:rsidRDefault="006141C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360" w:type="dxa"/>
                  <w:gridSpan w:val="2"/>
                  <w:tcBorders>
                    <w:top w:val="nil"/>
                    <w:left w:val="nil"/>
                    <w:bottom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B5FED2" w14:textId="77777777" w:rsidR="006141CB" w:rsidRDefault="00110C32">
                  <w:pPr>
                    <w:spacing w:after="0" w:line="240" w:lineRule="auto"/>
                  </w:pPr>
                  <w:r>
                    <w:rPr>
                      <w:noProof/>
                    </w:rPr>
                    <w:drawing>
                      <wp:inline distT="0" distB="0" distL="0" distR="0" wp14:anchorId="4471EE93" wp14:editId="61DA4DB9">
                        <wp:extent cx="1971675" cy="513287"/>
                        <wp:effectExtent l="0" t="0" r="0" b="0"/>
                        <wp:docPr id="1" name="img3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img3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71675" cy="51328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893" w:type="dxa"/>
                </w:tcPr>
                <w:p w14:paraId="2829F989" w14:textId="77777777" w:rsidR="006141CB" w:rsidRDefault="006141C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562" w:type="dxa"/>
                  <w:gridSpan w:val="2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53"/>
                  </w:tblGrid>
                  <w:tr w:rsidR="006141CB" w14:paraId="36519D68" w14:textId="77777777">
                    <w:trPr>
                      <w:trHeight w:val="736"/>
                    </w:trPr>
                    <w:tc>
                      <w:tcPr>
                        <w:tcW w:w="264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6D56CF0A" w14:textId="0F8E2FA1" w:rsidR="006141CB" w:rsidRDefault="006141CB">
                        <w:pPr>
                          <w:spacing w:after="0" w:line="240" w:lineRule="auto"/>
                          <w:jc w:val="right"/>
                        </w:pPr>
                      </w:p>
                    </w:tc>
                  </w:tr>
                </w:tbl>
                <w:p w14:paraId="74107279" w14:textId="77777777" w:rsidR="006141CB" w:rsidRDefault="006141CB">
                  <w:pPr>
                    <w:spacing w:after="0" w:line="240" w:lineRule="auto"/>
                  </w:pPr>
                </w:p>
              </w:tc>
              <w:tc>
                <w:tcPr>
                  <w:tcW w:w="187" w:type="dxa"/>
                </w:tcPr>
                <w:p w14:paraId="66E3B9AD" w14:textId="77777777" w:rsidR="006141CB" w:rsidRDefault="006141C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2" w:type="dxa"/>
                </w:tcPr>
                <w:p w14:paraId="49571E14" w14:textId="77777777" w:rsidR="006141CB" w:rsidRDefault="006141CB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C75947" w14:paraId="545D2F29" w14:textId="77777777">
              <w:trPr>
                <w:trHeight w:val="18"/>
              </w:trPr>
              <w:tc>
                <w:tcPr>
                  <w:tcW w:w="26" w:type="dxa"/>
                </w:tcPr>
                <w:p w14:paraId="1380F5E1" w14:textId="77777777" w:rsidR="006141CB" w:rsidRDefault="006141C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6" w:type="dxa"/>
                </w:tcPr>
                <w:p w14:paraId="5565731B" w14:textId="77777777" w:rsidR="006141CB" w:rsidRDefault="006141C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6" w:type="dxa"/>
                </w:tcPr>
                <w:p w14:paraId="2FFDBFC1" w14:textId="77777777" w:rsidR="006141CB" w:rsidRDefault="006141C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2" w:type="dxa"/>
                </w:tcPr>
                <w:p w14:paraId="34B22D00" w14:textId="77777777" w:rsidR="006141CB" w:rsidRDefault="006141C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360" w:type="dxa"/>
                </w:tcPr>
                <w:p w14:paraId="32752354" w14:textId="77777777" w:rsidR="006141CB" w:rsidRDefault="006141C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744" w:type="dxa"/>
                </w:tcPr>
                <w:p w14:paraId="52D92E8C" w14:textId="77777777" w:rsidR="006141CB" w:rsidRDefault="006141C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93" w:type="dxa"/>
                </w:tcPr>
                <w:p w14:paraId="70DB9350" w14:textId="77777777" w:rsidR="006141CB" w:rsidRDefault="006141C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562" w:type="dxa"/>
                </w:tcPr>
                <w:p w14:paraId="32AF57D4" w14:textId="77777777" w:rsidR="006141CB" w:rsidRDefault="006141C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9" w:type="dxa"/>
                </w:tcPr>
                <w:p w14:paraId="0BC92BEC" w14:textId="77777777" w:rsidR="006141CB" w:rsidRDefault="006141C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87" w:type="dxa"/>
                </w:tcPr>
                <w:p w14:paraId="3FA6B049" w14:textId="77777777" w:rsidR="006141CB" w:rsidRDefault="006141C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2" w:type="dxa"/>
                </w:tcPr>
                <w:p w14:paraId="78C5B928" w14:textId="77777777" w:rsidR="006141CB" w:rsidRDefault="006141CB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983DF9" w14:paraId="0A0AD9AE" w14:textId="77777777" w:rsidTr="00983DF9">
              <w:tc>
                <w:tcPr>
                  <w:tcW w:w="26" w:type="dxa"/>
                </w:tcPr>
                <w:p w14:paraId="15E72D03" w14:textId="77777777" w:rsidR="006141CB" w:rsidRDefault="006141C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6" w:type="dxa"/>
                </w:tcPr>
                <w:p w14:paraId="60B67BE4" w14:textId="77777777" w:rsidR="006141CB" w:rsidRDefault="006141C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6" w:type="dxa"/>
                </w:tcPr>
                <w:p w14:paraId="53BBD5AF" w14:textId="77777777" w:rsidR="006141CB" w:rsidRDefault="006141C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2" w:type="dxa"/>
                  <w:gridSpan w:val="6"/>
                </w:tcPr>
                <w:tbl>
                  <w:tblPr>
                    <w:tblW w:w="13565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20"/>
                    <w:gridCol w:w="4345"/>
                  </w:tblGrid>
                  <w:tr w:rsidR="006141CB" w14:paraId="23743073" w14:textId="77777777" w:rsidTr="00A36648">
                    <w:trPr>
                      <w:trHeight w:val="2970"/>
                    </w:trPr>
                    <w:tc>
                      <w:tcPr>
                        <w:tcW w:w="92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AFAFAB5" w14:textId="77777777" w:rsidR="00186805" w:rsidRDefault="00186805"/>
                      <w:p w14:paraId="1A857373" w14:textId="77777777" w:rsidR="00712C31" w:rsidRDefault="00712C31">
                        <w:pPr>
                          <w:spacing w:after="0" w:line="240" w:lineRule="auto"/>
                        </w:pPr>
                      </w:p>
                      <w:p w14:paraId="56A6E8FB" w14:textId="77777777" w:rsidR="00585012" w:rsidRDefault="00585012">
                        <w:pPr>
                          <w:spacing w:after="0" w:line="240" w:lineRule="auto"/>
                          <w:rPr>
                            <w:sz w:val="22"/>
                            <w:szCs w:val="22"/>
                          </w:rPr>
                        </w:pPr>
                      </w:p>
                      <w:p w14:paraId="0B5B3615" w14:textId="0963D9CB" w:rsidR="00712C31" w:rsidRPr="00F019F0" w:rsidRDefault="00032BEF">
                        <w:pPr>
                          <w:spacing w:after="0" w:line="240" w:lineRule="auto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January 30</w:t>
                        </w:r>
                        <w:r w:rsidR="00712C31" w:rsidRPr="00F019F0">
                          <w:rPr>
                            <w:sz w:val="22"/>
                            <w:szCs w:val="22"/>
                          </w:rPr>
                          <w:t>, 202</w:t>
                        </w:r>
                        <w:r>
                          <w:rPr>
                            <w:sz w:val="22"/>
                            <w:szCs w:val="22"/>
                          </w:rPr>
                          <w:t>3</w:t>
                        </w:r>
                      </w:p>
                      <w:p w14:paraId="138F9DFF" w14:textId="77777777" w:rsidR="00712C31" w:rsidRPr="00F019F0" w:rsidRDefault="00712C31">
                        <w:pPr>
                          <w:spacing w:after="0" w:line="240" w:lineRule="auto"/>
                          <w:rPr>
                            <w:sz w:val="22"/>
                            <w:szCs w:val="22"/>
                          </w:rPr>
                        </w:pPr>
                      </w:p>
                      <w:p w14:paraId="577D5707" w14:textId="77777777" w:rsidR="00585012" w:rsidRDefault="00585012" w:rsidP="0022198A">
                        <w:pPr>
                          <w:spacing w:after="0"/>
                          <w:rPr>
                            <w:sz w:val="22"/>
                            <w:szCs w:val="22"/>
                          </w:rPr>
                        </w:pPr>
                      </w:p>
                      <w:p w14:paraId="394FC630" w14:textId="5C44D3C7" w:rsidR="00985C7A" w:rsidRPr="0022198A" w:rsidRDefault="00985C7A" w:rsidP="0022198A">
                        <w:pPr>
                          <w:spacing w:after="0"/>
                          <w:rPr>
                            <w:sz w:val="22"/>
                            <w:szCs w:val="22"/>
                          </w:rPr>
                        </w:pPr>
                        <w:r w:rsidRPr="0022198A">
                          <w:rPr>
                            <w:sz w:val="22"/>
                            <w:szCs w:val="22"/>
                          </w:rPr>
                          <w:t>Arthur L. Sample, IV, BS, Strategic Sourcing Analyst</w:t>
                        </w:r>
                      </w:p>
                      <w:p w14:paraId="4472E8A4" w14:textId="77777777" w:rsidR="00985C7A" w:rsidRPr="0022198A" w:rsidRDefault="00985C7A" w:rsidP="0022198A">
                        <w:pPr>
                          <w:spacing w:after="0"/>
                          <w:rPr>
                            <w:sz w:val="22"/>
                            <w:szCs w:val="22"/>
                          </w:rPr>
                        </w:pPr>
                        <w:r w:rsidRPr="0022198A">
                          <w:rPr>
                            <w:sz w:val="22"/>
                            <w:szCs w:val="22"/>
                          </w:rPr>
                          <w:t>Indiana Department of Administration</w:t>
                        </w:r>
                      </w:p>
                      <w:p w14:paraId="0753C72E" w14:textId="77777777" w:rsidR="00985C7A" w:rsidRPr="0022198A" w:rsidRDefault="00985C7A" w:rsidP="0022198A">
                        <w:pPr>
                          <w:spacing w:after="0"/>
                          <w:rPr>
                            <w:sz w:val="22"/>
                            <w:szCs w:val="22"/>
                          </w:rPr>
                        </w:pPr>
                        <w:r w:rsidRPr="0022198A">
                          <w:rPr>
                            <w:sz w:val="22"/>
                            <w:szCs w:val="22"/>
                          </w:rPr>
                          <w:t>Procurement Division</w:t>
                        </w:r>
                      </w:p>
                      <w:p w14:paraId="340CDCE5" w14:textId="77777777" w:rsidR="00985C7A" w:rsidRPr="0022198A" w:rsidRDefault="00985C7A" w:rsidP="0022198A">
                        <w:pPr>
                          <w:spacing w:after="0"/>
                          <w:rPr>
                            <w:sz w:val="22"/>
                            <w:szCs w:val="22"/>
                          </w:rPr>
                        </w:pPr>
                        <w:r w:rsidRPr="0022198A">
                          <w:rPr>
                            <w:sz w:val="22"/>
                            <w:szCs w:val="22"/>
                          </w:rPr>
                          <w:t>402 W. Washington St., Room W468</w:t>
                        </w:r>
                      </w:p>
                      <w:p w14:paraId="6C8304F8" w14:textId="77777777" w:rsidR="00985C7A" w:rsidRDefault="00985C7A" w:rsidP="008573FE">
                        <w:pPr>
                          <w:spacing w:after="0"/>
                          <w:rPr>
                            <w:sz w:val="22"/>
                            <w:szCs w:val="22"/>
                          </w:rPr>
                        </w:pPr>
                        <w:r w:rsidRPr="0022198A">
                          <w:rPr>
                            <w:sz w:val="22"/>
                            <w:szCs w:val="22"/>
                          </w:rPr>
                          <w:t>Indianapolis, Indiana 46204</w:t>
                        </w:r>
                      </w:p>
                      <w:p w14:paraId="50842839" w14:textId="49255877" w:rsidR="0022198A" w:rsidRPr="004172AB" w:rsidRDefault="0022198A" w:rsidP="004172AB">
                        <w:pPr>
                          <w:spacing w:after="0"/>
                          <w:rPr>
                            <w:sz w:val="22"/>
                            <w:szCs w:val="22"/>
                          </w:rPr>
                        </w:pPr>
                        <w:r w:rsidRPr="004172AB">
                          <w:rPr>
                            <w:sz w:val="22"/>
                            <w:szCs w:val="22"/>
                          </w:rPr>
                          <w:t xml:space="preserve">Via email:  </w:t>
                        </w:r>
                        <w:hyperlink r:id="rId8" w:history="1">
                          <w:r w:rsidR="00A027AB" w:rsidRPr="004172AB">
                            <w:rPr>
                              <w:rStyle w:val="Hyperlink"/>
                              <w:rFonts w:cstheme="minorHAnsi"/>
                              <w:sz w:val="22"/>
                              <w:szCs w:val="22"/>
                            </w:rPr>
                            <w:t>asample@idoa.in.gov</w:t>
                          </w:r>
                        </w:hyperlink>
                        <w:r w:rsidRPr="004172AB">
                          <w:rPr>
                            <w:sz w:val="22"/>
                            <w:szCs w:val="22"/>
                          </w:rPr>
                          <w:t xml:space="preserve"> </w:t>
                        </w:r>
                      </w:p>
                      <w:p w14:paraId="07C16B3A" w14:textId="62A9EFF8" w:rsidR="00BC4149" w:rsidRPr="004172AB" w:rsidRDefault="00BC4149">
                        <w:pPr>
                          <w:spacing w:after="0" w:line="240" w:lineRule="auto"/>
                          <w:rPr>
                            <w:sz w:val="22"/>
                            <w:szCs w:val="22"/>
                          </w:rPr>
                        </w:pPr>
                      </w:p>
                      <w:p w14:paraId="24466EE3" w14:textId="77777777" w:rsidR="00585012" w:rsidRDefault="00585012">
                        <w:pPr>
                          <w:spacing w:after="0" w:line="240" w:lineRule="auto"/>
                          <w:rPr>
                            <w:sz w:val="22"/>
                            <w:szCs w:val="22"/>
                          </w:rPr>
                        </w:pPr>
                      </w:p>
                      <w:p w14:paraId="57334515" w14:textId="6EE60460" w:rsidR="00712C31" w:rsidRPr="004172AB" w:rsidRDefault="00032BEF">
                        <w:pPr>
                          <w:spacing w:after="0" w:line="240" w:lineRule="auto"/>
                          <w:rPr>
                            <w:sz w:val="22"/>
                            <w:szCs w:val="22"/>
                          </w:rPr>
                        </w:pPr>
                        <w:r w:rsidRPr="004172AB">
                          <w:rPr>
                            <w:sz w:val="22"/>
                            <w:szCs w:val="22"/>
                          </w:rPr>
                          <w:t>Mr. Sample</w:t>
                        </w:r>
                        <w:r w:rsidR="004C600F">
                          <w:rPr>
                            <w:sz w:val="22"/>
                            <w:szCs w:val="22"/>
                          </w:rPr>
                          <w:t>,</w:t>
                        </w:r>
                      </w:p>
                      <w:p w14:paraId="1B993F2A" w14:textId="77777777" w:rsidR="00BC4149" w:rsidRPr="00F019F0" w:rsidRDefault="00BC4149">
                        <w:pPr>
                          <w:spacing w:after="0" w:line="240" w:lineRule="auto"/>
                          <w:rPr>
                            <w:sz w:val="22"/>
                            <w:szCs w:val="22"/>
                          </w:rPr>
                        </w:pPr>
                      </w:p>
                      <w:p w14:paraId="75065032" w14:textId="62A9BE60" w:rsidR="00522476" w:rsidRDefault="00032BEF" w:rsidP="005F5914">
                        <w:pPr>
                          <w:ind w:right="-1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 xml:space="preserve">We appreciate the opportunity to </w:t>
                        </w:r>
                        <w:r w:rsidR="00707A46">
                          <w:rPr>
                            <w:sz w:val="22"/>
                            <w:szCs w:val="22"/>
                          </w:rPr>
                          <w:t>submit a revised pricing proposal</w:t>
                        </w:r>
                        <w:r w:rsidR="0022198A">
                          <w:rPr>
                            <w:sz w:val="22"/>
                            <w:szCs w:val="22"/>
                          </w:rPr>
                          <w:t xml:space="preserve"> in response to</w:t>
                        </w:r>
                        <w:r w:rsidR="00F609B8">
                          <w:rPr>
                            <w:sz w:val="22"/>
                            <w:szCs w:val="22"/>
                          </w:rPr>
                          <w:t xml:space="preserve"> the</w:t>
                        </w:r>
                        <w:r w:rsidR="00707A46">
                          <w:rPr>
                            <w:sz w:val="22"/>
                            <w:szCs w:val="22"/>
                          </w:rPr>
                          <w:t xml:space="preserve"> </w:t>
                        </w:r>
                        <w:r w:rsidR="00F609B8" w:rsidRPr="001B30D9">
                          <w:rPr>
                            <w:sz w:val="22"/>
                            <w:szCs w:val="22"/>
                          </w:rPr>
                          <w:t>Solicitation</w:t>
                        </w:r>
                        <w:r w:rsidR="001B30D9">
                          <w:rPr>
                            <w:sz w:val="22"/>
                            <w:szCs w:val="22"/>
                          </w:rPr>
                          <w:t xml:space="preserve"> </w:t>
                        </w:r>
                        <w:r w:rsidR="004C600F" w:rsidRPr="001B30D9">
                          <w:rPr>
                            <w:sz w:val="22"/>
                            <w:szCs w:val="22"/>
                          </w:rPr>
                          <w:t>for</w:t>
                        </w:r>
                        <w:r w:rsidR="001B30D9" w:rsidRPr="001B30D9">
                          <w:rPr>
                            <w:sz w:val="22"/>
                            <w:szCs w:val="22"/>
                          </w:rPr>
                          <w:t xml:space="preserve"> </w:t>
                        </w:r>
                        <w:r w:rsidR="00F609B8" w:rsidRPr="001B30D9">
                          <w:rPr>
                            <w:sz w:val="22"/>
                            <w:szCs w:val="22"/>
                          </w:rPr>
                          <w:t>Strategic Stockpile and Logistics Services</w:t>
                        </w:r>
                        <w:r w:rsidR="006862FC">
                          <w:rPr>
                            <w:sz w:val="22"/>
                            <w:szCs w:val="22"/>
                          </w:rPr>
                          <w:t xml:space="preserve"> request for Best and Final Offer (“BAFO”)</w:t>
                        </w:r>
                        <w:r w:rsidR="001B30D9">
                          <w:rPr>
                            <w:sz w:val="22"/>
                            <w:szCs w:val="22"/>
                          </w:rPr>
                          <w:t xml:space="preserve">.  </w:t>
                        </w:r>
                      </w:p>
                      <w:p w14:paraId="77462743" w14:textId="18C2B3BC" w:rsidR="001D3FEB" w:rsidRDefault="00707A46" w:rsidP="005F5914">
                        <w:pPr>
                          <w:ind w:right="-1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 xml:space="preserve">In preparing our </w:t>
                        </w:r>
                        <w:r w:rsidR="006862FC">
                          <w:rPr>
                            <w:sz w:val="22"/>
                            <w:szCs w:val="22"/>
                          </w:rPr>
                          <w:t xml:space="preserve">BAFO, </w:t>
                        </w:r>
                        <w:r w:rsidR="0032708D">
                          <w:rPr>
                            <w:sz w:val="22"/>
                            <w:szCs w:val="22"/>
                          </w:rPr>
                          <w:t xml:space="preserve">our focus was to meet the State’s budgetary </w:t>
                        </w:r>
                        <w:r w:rsidR="000E7853">
                          <w:rPr>
                            <w:sz w:val="22"/>
                            <w:szCs w:val="22"/>
                          </w:rPr>
                          <w:t xml:space="preserve">requirements while ensuring that the service requirements </w:t>
                        </w:r>
                        <w:r w:rsidR="00F169D3">
                          <w:rPr>
                            <w:sz w:val="22"/>
                            <w:szCs w:val="22"/>
                          </w:rPr>
                          <w:t>as set forth in the RFP would be met.</w:t>
                        </w:r>
                        <w:r w:rsidR="004C600F">
                          <w:rPr>
                            <w:sz w:val="22"/>
                            <w:szCs w:val="22"/>
                          </w:rPr>
                          <w:t xml:space="preserve"> </w:t>
                        </w:r>
                        <w:r w:rsidR="00D858D9">
                          <w:rPr>
                            <w:sz w:val="22"/>
                            <w:szCs w:val="22"/>
                          </w:rPr>
                          <w:t>W</w:t>
                        </w:r>
                        <w:r w:rsidR="00680964">
                          <w:rPr>
                            <w:sz w:val="22"/>
                            <w:szCs w:val="22"/>
                          </w:rPr>
                          <w:t xml:space="preserve">e </w:t>
                        </w:r>
                        <w:r w:rsidR="00154225">
                          <w:rPr>
                            <w:sz w:val="22"/>
                            <w:szCs w:val="22"/>
                          </w:rPr>
                          <w:t xml:space="preserve">also </w:t>
                        </w:r>
                        <w:r w:rsidR="00680964">
                          <w:rPr>
                            <w:sz w:val="22"/>
                            <w:szCs w:val="22"/>
                          </w:rPr>
                          <w:t xml:space="preserve">greatly value </w:t>
                        </w:r>
                        <w:r w:rsidR="000D034F">
                          <w:rPr>
                            <w:sz w:val="22"/>
                            <w:szCs w:val="22"/>
                          </w:rPr>
                          <w:t xml:space="preserve">our </w:t>
                        </w:r>
                        <w:r w:rsidR="005B6646">
                          <w:rPr>
                            <w:sz w:val="22"/>
                            <w:szCs w:val="22"/>
                          </w:rPr>
                          <w:t>long-standing</w:t>
                        </w:r>
                        <w:r w:rsidR="00D858D9">
                          <w:rPr>
                            <w:sz w:val="22"/>
                            <w:szCs w:val="22"/>
                          </w:rPr>
                          <w:t xml:space="preserve"> presence </w:t>
                        </w:r>
                        <w:r w:rsidR="005B6646">
                          <w:rPr>
                            <w:sz w:val="22"/>
                            <w:szCs w:val="22"/>
                          </w:rPr>
                          <w:t xml:space="preserve">in </w:t>
                        </w:r>
                        <w:r w:rsidR="00E45637">
                          <w:rPr>
                            <w:sz w:val="22"/>
                            <w:szCs w:val="22"/>
                          </w:rPr>
                          <w:t xml:space="preserve">and commitment to </w:t>
                        </w:r>
                        <w:r w:rsidR="005B6646">
                          <w:rPr>
                            <w:sz w:val="22"/>
                            <w:szCs w:val="22"/>
                          </w:rPr>
                          <w:t>the State of Indiana and</w:t>
                        </w:r>
                        <w:r w:rsidR="00600F44">
                          <w:rPr>
                            <w:sz w:val="22"/>
                            <w:szCs w:val="22"/>
                          </w:rPr>
                          <w:t>,</w:t>
                        </w:r>
                        <w:r w:rsidR="005B6646">
                          <w:rPr>
                            <w:sz w:val="22"/>
                            <w:szCs w:val="22"/>
                          </w:rPr>
                          <w:t xml:space="preserve"> </w:t>
                        </w:r>
                        <w:r w:rsidR="000D034F">
                          <w:rPr>
                            <w:sz w:val="22"/>
                            <w:szCs w:val="22"/>
                          </w:rPr>
                          <w:t xml:space="preserve">with this </w:t>
                        </w:r>
                        <w:r w:rsidR="00167635">
                          <w:rPr>
                            <w:sz w:val="22"/>
                            <w:szCs w:val="22"/>
                          </w:rPr>
                          <w:t xml:space="preserve">revised </w:t>
                        </w:r>
                        <w:r w:rsidR="000D034F">
                          <w:rPr>
                            <w:sz w:val="22"/>
                            <w:szCs w:val="22"/>
                          </w:rPr>
                          <w:t xml:space="preserve">proposal, the opportunity to assist the State with </w:t>
                        </w:r>
                        <w:r w:rsidR="00596C2F">
                          <w:rPr>
                            <w:sz w:val="22"/>
                            <w:szCs w:val="22"/>
                          </w:rPr>
                          <w:t xml:space="preserve">its mission. </w:t>
                        </w:r>
                        <w:r w:rsidR="00E730D8">
                          <w:rPr>
                            <w:sz w:val="22"/>
                            <w:szCs w:val="22"/>
                          </w:rPr>
                          <w:t>As such, we ar</w:t>
                        </w:r>
                        <w:r w:rsidR="00596C2F">
                          <w:rPr>
                            <w:sz w:val="22"/>
                            <w:szCs w:val="22"/>
                          </w:rPr>
                          <w:t>e tak</w:t>
                        </w:r>
                        <w:r w:rsidR="00E730D8">
                          <w:rPr>
                            <w:sz w:val="22"/>
                            <w:szCs w:val="22"/>
                          </w:rPr>
                          <w:t>ing</w:t>
                        </w:r>
                        <w:r w:rsidR="00596C2F">
                          <w:rPr>
                            <w:sz w:val="22"/>
                            <w:szCs w:val="22"/>
                          </w:rPr>
                          <w:t xml:space="preserve"> a long-term perspective </w:t>
                        </w:r>
                        <w:r w:rsidR="008F7FEB">
                          <w:rPr>
                            <w:sz w:val="22"/>
                            <w:szCs w:val="22"/>
                          </w:rPr>
                          <w:t>and are pr</w:t>
                        </w:r>
                        <w:r w:rsidR="00E730D8">
                          <w:rPr>
                            <w:sz w:val="22"/>
                            <w:szCs w:val="22"/>
                          </w:rPr>
                          <w:t>oposing</w:t>
                        </w:r>
                        <w:r w:rsidR="008F7FEB">
                          <w:rPr>
                            <w:sz w:val="22"/>
                            <w:szCs w:val="22"/>
                          </w:rPr>
                          <w:t xml:space="preserve"> to make a projected ~$5.0 million investment in the </w:t>
                        </w:r>
                        <w:r w:rsidR="003C16F1">
                          <w:rPr>
                            <w:sz w:val="22"/>
                            <w:szCs w:val="22"/>
                          </w:rPr>
                          <w:t xml:space="preserve">necessary </w:t>
                        </w:r>
                        <w:r w:rsidR="008F7FEB">
                          <w:rPr>
                            <w:sz w:val="22"/>
                            <w:szCs w:val="22"/>
                          </w:rPr>
                          <w:t xml:space="preserve">infrastructure </w:t>
                        </w:r>
                        <w:r w:rsidR="003C16F1">
                          <w:rPr>
                            <w:sz w:val="22"/>
                            <w:szCs w:val="22"/>
                          </w:rPr>
                          <w:t>at no cost to the State.</w:t>
                        </w:r>
                        <w:r w:rsidR="004C600F">
                          <w:rPr>
                            <w:sz w:val="22"/>
                            <w:szCs w:val="22"/>
                          </w:rPr>
                          <w:t xml:space="preserve"> </w:t>
                        </w:r>
                        <w:r w:rsidR="003C16F1">
                          <w:rPr>
                            <w:sz w:val="22"/>
                            <w:szCs w:val="22"/>
                          </w:rPr>
                          <w:t>Additionally, we are proposing a</w:t>
                        </w:r>
                        <w:r w:rsidR="00111775">
                          <w:rPr>
                            <w:sz w:val="22"/>
                            <w:szCs w:val="22"/>
                          </w:rPr>
                          <w:t xml:space="preserve"> </w:t>
                        </w:r>
                        <w:r w:rsidR="003C16F1">
                          <w:rPr>
                            <w:sz w:val="22"/>
                            <w:szCs w:val="22"/>
                          </w:rPr>
                          <w:t>firm fixed price</w:t>
                        </w:r>
                        <w:r w:rsidR="00111775">
                          <w:rPr>
                            <w:sz w:val="22"/>
                            <w:szCs w:val="22"/>
                          </w:rPr>
                          <w:t xml:space="preserve">, inclusive </w:t>
                        </w:r>
                        <w:r w:rsidR="00E966E2">
                          <w:rPr>
                            <w:sz w:val="22"/>
                            <w:szCs w:val="22"/>
                          </w:rPr>
                          <w:t>of</w:t>
                        </w:r>
                        <w:r w:rsidR="00111775">
                          <w:rPr>
                            <w:sz w:val="22"/>
                            <w:szCs w:val="22"/>
                          </w:rPr>
                          <w:t xml:space="preserve"> implementation fees</w:t>
                        </w:r>
                        <w:r w:rsidR="00E966E2">
                          <w:rPr>
                            <w:sz w:val="22"/>
                            <w:szCs w:val="22"/>
                          </w:rPr>
                          <w:t xml:space="preserve">, the initial inbound transportation as well as the </w:t>
                        </w:r>
                        <w:r w:rsidR="008C480C">
                          <w:rPr>
                            <w:sz w:val="22"/>
                            <w:szCs w:val="22"/>
                          </w:rPr>
                          <w:t>mileage</w:t>
                        </w:r>
                        <w:r w:rsidR="008B236B">
                          <w:rPr>
                            <w:sz w:val="22"/>
                            <w:szCs w:val="22"/>
                          </w:rPr>
                          <w:t xml:space="preserve"> </w:t>
                        </w:r>
                        <w:r w:rsidR="008C480C">
                          <w:rPr>
                            <w:sz w:val="22"/>
                            <w:szCs w:val="22"/>
                          </w:rPr>
                          <w:t xml:space="preserve">and other </w:t>
                        </w:r>
                        <w:r w:rsidR="008B236B">
                          <w:rPr>
                            <w:sz w:val="22"/>
                            <w:szCs w:val="22"/>
                          </w:rPr>
                          <w:t xml:space="preserve">volume-based </w:t>
                        </w:r>
                        <w:r w:rsidR="008C480C">
                          <w:rPr>
                            <w:sz w:val="22"/>
                            <w:szCs w:val="22"/>
                          </w:rPr>
                          <w:t xml:space="preserve">costs up to the quantities projected by the State.  </w:t>
                        </w:r>
                        <w:r w:rsidR="00E966E2">
                          <w:rPr>
                            <w:sz w:val="22"/>
                            <w:szCs w:val="22"/>
                          </w:rPr>
                          <w:t xml:space="preserve"> </w:t>
                        </w:r>
                        <w:r w:rsidR="005B6646">
                          <w:rPr>
                            <w:sz w:val="22"/>
                            <w:szCs w:val="22"/>
                          </w:rPr>
                          <w:t xml:space="preserve"> </w:t>
                        </w:r>
                      </w:p>
                      <w:p w14:paraId="09CD4E1F" w14:textId="2DA5DD01" w:rsidR="00DC0E97" w:rsidRDefault="00266249" w:rsidP="005F5914">
                        <w:pPr>
                          <w:ind w:right="-1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A</w:t>
                        </w:r>
                        <w:r w:rsidR="00F169D3">
                          <w:rPr>
                            <w:sz w:val="22"/>
                            <w:szCs w:val="22"/>
                          </w:rPr>
                          <w:t>ttached</w:t>
                        </w:r>
                        <w:r w:rsidR="00DC0E97">
                          <w:rPr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</w:rPr>
                          <w:t xml:space="preserve">are </w:t>
                        </w:r>
                        <w:r w:rsidR="00DC0E97">
                          <w:rPr>
                            <w:sz w:val="22"/>
                            <w:szCs w:val="22"/>
                          </w:rPr>
                          <w:t>revised documents for your consideration:</w:t>
                        </w:r>
                      </w:p>
                      <w:p w14:paraId="36B8CF2F" w14:textId="17B26B10" w:rsidR="00E977F4" w:rsidRPr="00D54591" w:rsidRDefault="009A4757" w:rsidP="005F5914">
                        <w:pPr>
                          <w:pStyle w:val="ListParagraph"/>
                          <w:numPr>
                            <w:ilvl w:val="0"/>
                            <w:numId w:val="27"/>
                          </w:numPr>
                          <w:ind w:right="-1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rFonts w:cstheme="minorHAnsi"/>
                            <w:sz w:val="22"/>
                            <w:szCs w:val="22"/>
                          </w:rPr>
                          <w:t xml:space="preserve">Revised </w:t>
                        </w:r>
                        <w:r w:rsidR="00E977F4" w:rsidRPr="00641755">
                          <w:rPr>
                            <w:rFonts w:cstheme="minorHAnsi"/>
                            <w:sz w:val="22"/>
                            <w:szCs w:val="22"/>
                          </w:rPr>
                          <w:t>Cost Proposal Template (Attachment D)</w:t>
                        </w:r>
                      </w:p>
                      <w:p w14:paraId="40564A0C" w14:textId="2BB1C7EC" w:rsidR="00D54591" w:rsidRPr="009A4757" w:rsidRDefault="00D54591" w:rsidP="005F5914">
                        <w:pPr>
                          <w:pStyle w:val="ListParagraph"/>
                          <w:numPr>
                            <w:ilvl w:val="0"/>
                            <w:numId w:val="27"/>
                          </w:numPr>
                          <w:ind w:right="-1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rFonts w:cstheme="minorHAnsi"/>
                            <w:sz w:val="22"/>
                            <w:szCs w:val="22"/>
                          </w:rPr>
                          <w:t>Revised Price Supporting Documentation document</w:t>
                        </w:r>
                      </w:p>
                      <w:p w14:paraId="367DF7BC" w14:textId="66082C87" w:rsidR="009A4757" w:rsidRPr="00641755" w:rsidRDefault="009A4757" w:rsidP="005F5914">
                        <w:pPr>
                          <w:pStyle w:val="ListParagraph"/>
                          <w:numPr>
                            <w:ilvl w:val="0"/>
                            <w:numId w:val="27"/>
                          </w:numPr>
                          <w:ind w:right="-1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 xml:space="preserve">Revised </w:t>
                        </w:r>
                        <w:r w:rsidR="005A6AB6">
                          <w:rPr>
                            <w:sz w:val="22"/>
                            <w:szCs w:val="22"/>
                          </w:rPr>
                          <w:t>P</w:t>
                        </w:r>
                        <w:r w:rsidR="00D606DC">
                          <w:rPr>
                            <w:sz w:val="22"/>
                            <w:szCs w:val="22"/>
                          </w:rPr>
                          <w:t xml:space="preserve">ricing </w:t>
                        </w:r>
                        <w:r w:rsidR="005A6AB6">
                          <w:rPr>
                            <w:sz w:val="22"/>
                            <w:szCs w:val="22"/>
                          </w:rPr>
                          <w:t>A</w:t>
                        </w:r>
                        <w:r w:rsidR="00D606DC">
                          <w:rPr>
                            <w:sz w:val="22"/>
                            <w:szCs w:val="22"/>
                          </w:rPr>
                          <w:t>ssumptions document</w:t>
                        </w:r>
                      </w:p>
                      <w:p w14:paraId="7C598601" w14:textId="19A54E12" w:rsidR="004E483F" w:rsidRPr="00F21BF7" w:rsidRDefault="009471B7" w:rsidP="00F21BF7">
                        <w:pPr>
                          <w:pStyle w:val="ListParagraph"/>
                          <w:numPr>
                            <w:ilvl w:val="0"/>
                            <w:numId w:val="27"/>
                          </w:numPr>
                          <w:ind w:right="-10"/>
                          <w:rPr>
                            <w:sz w:val="22"/>
                            <w:szCs w:val="22"/>
                          </w:rPr>
                        </w:pPr>
                        <w:r w:rsidRPr="000C2246">
                          <w:rPr>
                            <w:rFonts w:cstheme="minorHAnsi"/>
                            <w:sz w:val="22"/>
                            <w:szCs w:val="22"/>
                          </w:rPr>
                          <w:t>MWBE and IVOSB Subcontractor Commitment Forms (Attachment A and A1)</w:t>
                        </w:r>
                        <w:r w:rsidR="009A4757">
                          <w:rPr>
                            <w:rFonts w:cstheme="minorHAnsi"/>
                            <w:sz w:val="22"/>
                            <w:szCs w:val="22"/>
                          </w:rPr>
                          <w:t xml:space="preserve">. </w:t>
                        </w:r>
                      </w:p>
                      <w:p w14:paraId="7ADB33FE" w14:textId="5E2969A1" w:rsidR="00DC0E97" w:rsidRPr="002943FA" w:rsidRDefault="002943FA" w:rsidP="002943FA">
                        <w:pPr>
                          <w:ind w:right="-1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rFonts w:cstheme="minorHAnsi"/>
                            <w:sz w:val="22"/>
                            <w:szCs w:val="22"/>
                          </w:rPr>
                          <w:t>N</w:t>
                        </w:r>
                        <w:r w:rsidR="00E43BEA" w:rsidRPr="002943FA">
                          <w:rPr>
                            <w:rFonts w:cstheme="minorHAnsi"/>
                            <w:sz w:val="22"/>
                            <w:szCs w:val="22"/>
                          </w:rPr>
                          <w:t xml:space="preserve">ote that there is no change </w:t>
                        </w:r>
                        <w:r w:rsidR="00D931A4">
                          <w:rPr>
                            <w:rFonts w:cstheme="minorHAnsi"/>
                            <w:sz w:val="22"/>
                            <w:szCs w:val="22"/>
                          </w:rPr>
                          <w:t>in</w:t>
                        </w:r>
                        <w:r w:rsidR="00B53B64">
                          <w:rPr>
                            <w:rFonts w:cstheme="minorHAnsi"/>
                            <w:sz w:val="22"/>
                            <w:szCs w:val="22"/>
                          </w:rPr>
                          <w:t xml:space="preserve"> the MWBE / IVOSB forms as </w:t>
                        </w:r>
                        <w:r w:rsidR="00E43BEA" w:rsidRPr="002943FA">
                          <w:rPr>
                            <w:rFonts w:cstheme="minorHAnsi"/>
                            <w:sz w:val="22"/>
                            <w:szCs w:val="22"/>
                          </w:rPr>
                          <w:t>the work t</w:t>
                        </w:r>
                        <w:r w:rsidR="009B20C4" w:rsidRPr="002943FA">
                          <w:rPr>
                            <w:rFonts w:cstheme="minorHAnsi"/>
                            <w:sz w:val="22"/>
                            <w:szCs w:val="22"/>
                          </w:rPr>
                          <w:t>o</w:t>
                        </w:r>
                        <w:r w:rsidR="00E43BEA" w:rsidRPr="002943FA">
                          <w:rPr>
                            <w:rFonts w:cstheme="minorHAnsi"/>
                            <w:sz w:val="22"/>
                            <w:szCs w:val="22"/>
                          </w:rPr>
                          <w:t xml:space="preserve"> be performed by </w:t>
                        </w:r>
                        <w:r w:rsidR="00F21BF7">
                          <w:rPr>
                            <w:rFonts w:cstheme="minorHAnsi"/>
                            <w:sz w:val="22"/>
                            <w:szCs w:val="22"/>
                          </w:rPr>
                          <w:t xml:space="preserve">Cassady Electric </w:t>
                        </w:r>
                        <w:r w:rsidR="00E43BEA" w:rsidRPr="002943FA">
                          <w:rPr>
                            <w:rFonts w:cstheme="minorHAnsi"/>
                            <w:sz w:val="22"/>
                            <w:szCs w:val="22"/>
                          </w:rPr>
                          <w:t xml:space="preserve">is </w:t>
                        </w:r>
                        <w:r w:rsidR="009A4757" w:rsidRPr="002943FA">
                          <w:rPr>
                            <w:rFonts w:cstheme="minorHAnsi"/>
                            <w:sz w:val="22"/>
                            <w:szCs w:val="22"/>
                          </w:rPr>
                          <w:t>the same</w:t>
                        </w:r>
                        <w:r w:rsidR="00325416" w:rsidRPr="002943FA">
                          <w:rPr>
                            <w:rFonts w:cstheme="minorHAnsi"/>
                            <w:sz w:val="22"/>
                            <w:szCs w:val="22"/>
                          </w:rPr>
                          <w:t xml:space="preserve"> </w:t>
                        </w:r>
                        <w:r w:rsidR="001F7DC3">
                          <w:rPr>
                            <w:rFonts w:cstheme="minorHAnsi"/>
                            <w:sz w:val="22"/>
                            <w:szCs w:val="22"/>
                          </w:rPr>
                          <w:t>at $</w:t>
                        </w:r>
                        <w:r w:rsidR="00D931A4">
                          <w:rPr>
                            <w:rFonts w:cstheme="minorHAnsi"/>
                            <w:sz w:val="22"/>
                            <w:szCs w:val="22"/>
                          </w:rPr>
                          <w:t>100,630</w:t>
                        </w:r>
                        <w:r w:rsidR="00355ED4">
                          <w:rPr>
                            <w:rFonts w:cstheme="minorHAnsi"/>
                            <w:sz w:val="22"/>
                            <w:szCs w:val="22"/>
                          </w:rPr>
                          <w:t>.</w:t>
                        </w:r>
                      </w:p>
                      <w:p w14:paraId="5EA7946D" w14:textId="76433656" w:rsidR="000939FE" w:rsidRDefault="000C2246" w:rsidP="005F5914">
                        <w:pPr>
                          <w:spacing w:after="0" w:line="240" w:lineRule="auto"/>
                          <w:ind w:right="-1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 xml:space="preserve">In updating our pricing proposal, the only adjustments made </w:t>
                        </w:r>
                        <w:r w:rsidR="0098550B">
                          <w:rPr>
                            <w:sz w:val="22"/>
                            <w:szCs w:val="22"/>
                          </w:rPr>
                          <w:t xml:space="preserve">to the specifications </w:t>
                        </w:r>
                        <w:r>
                          <w:rPr>
                            <w:sz w:val="22"/>
                            <w:szCs w:val="22"/>
                          </w:rPr>
                          <w:t>versus our prior submission w</w:t>
                        </w:r>
                        <w:r w:rsidR="00137933">
                          <w:rPr>
                            <w:sz w:val="22"/>
                            <w:szCs w:val="22"/>
                          </w:rPr>
                          <w:t xml:space="preserve">ere to </w:t>
                        </w:r>
                        <w:r w:rsidR="004F70C3">
                          <w:rPr>
                            <w:sz w:val="22"/>
                            <w:szCs w:val="22"/>
                          </w:rPr>
                          <w:t>revise</w:t>
                        </w:r>
                        <w:r w:rsidR="00C972D5">
                          <w:rPr>
                            <w:sz w:val="22"/>
                            <w:szCs w:val="22"/>
                          </w:rPr>
                          <w:t xml:space="preserve"> the </w:t>
                        </w:r>
                        <w:r w:rsidR="00C63913">
                          <w:rPr>
                            <w:sz w:val="22"/>
                            <w:szCs w:val="22"/>
                          </w:rPr>
                          <w:t xml:space="preserve">office layout as </w:t>
                        </w:r>
                        <w:r w:rsidR="00485246">
                          <w:rPr>
                            <w:sz w:val="22"/>
                            <w:szCs w:val="22"/>
                          </w:rPr>
                          <w:t xml:space="preserve">described in Attachment F </w:t>
                        </w:r>
                        <w:r w:rsidR="001E3567">
                          <w:rPr>
                            <w:sz w:val="22"/>
                            <w:szCs w:val="22"/>
                          </w:rPr>
                          <w:t xml:space="preserve">Section </w:t>
                        </w:r>
                        <w:r w:rsidR="00087510">
                          <w:rPr>
                            <w:sz w:val="22"/>
                            <w:szCs w:val="22"/>
                          </w:rPr>
                          <w:t xml:space="preserve">3.0 </w:t>
                        </w:r>
                        <w:r w:rsidR="001E3567">
                          <w:rPr>
                            <w:sz w:val="22"/>
                            <w:szCs w:val="22"/>
                          </w:rPr>
                          <w:t xml:space="preserve">Warehouse Site and Location Requirements: </w:t>
                        </w:r>
                        <w:r w:rsidR="000939FE">
                          <w:rPr>
                            <w:sz w:val="22"/>
                            <w:szCs w:val="22"/>
                          </w:rPr>
                          <w:t xml:space="preserve">Indiana Stockpile </w:t>
                        </w:r>
                        <w:r w:rsidR="00C972D5">
                          <w:rPr>
                            <w:sz w:val="22"/>
                            <w:szCs w:val="22"/>
                          </w:rPr>
                          <w:t xml:space="preserve">Site Plan </w:t>
                        </w:r>
                        <w:r w:rsidR="000939FE">
                          <w:rPr>
                            <w:sz w:val="22"/>
                            <w:szCs w:val="22"/>
                          </w:rPr>
                          <w:t>as follows:</w:t>
                        </w:r>
                      </w:p>
                      <w:p w14:paraId="27A0ED79" w14:textId="77777777" w:rsidR="00506B1D" w:rsidRDefault="00506B1D" w:rsidP="005F5914">
                        <w:pPr>
                          <w:spacing w:after="0" w:line="240" w:lineRule="auto"/>
                          <w:ind w:right="-10"/>
                          <w:rPr>
                            <w:sz w:val="22"/>
                            <w:szCs w:val="22"/>
                          </w:rPr>
                        </w:pPr>
                      </w:p>
                      <w:p w14:paraId="7461BBFE" w14:textId="2073AF62" w:rsidR="00506B1D" w:rsidRPr="00A259B8" w:rsidRDefault="00000B1D" w:rsidP="005F5914">
                        <w:pPr>
                          <w:pStyle w:val="xmsolistparagraph"/>
                          <w:ind w:left="310" w:right="-10"/>
                          <w:rPr>
                            <w:rFonts w:ascii="Times New Roman" w:eastAsia="Times New Roman" w:hAnsi="Times New Roman" w:cs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2"/>
                            <w:szCs w:val="22"/>
                          </w:rPr>
                          <w:t>“</w:t>
                        </w:r>
                        <w:r w:rsidR="00506B1D" w:rsidRPr="00A259B8">
                          <w:rPr>
                            <w:rFonts w:ascii="Times New Roman" w:eastAsia="Times New Roman" w:hAnsi="Times New Roman" w:cs="Times New Roman"/>
                            <w:sz w:val="22"/>
                            <w:szCs w:val="22"/>
                          </w:rPr>
                          <w:t xml:space="preserve">2,927 SF of furnished Office Space supporting IDOH staff/electrical requirements, containing; Reception area, conference room, rest area, bathroom/restroom/showers, </w:t>
                        </w:r>
                        <w:r w:rsidR="004C7974">
                          <w:rPr>
                            <w:rFonts w:ascii="Times New Roman" w:eastAsia="Times New Roman" w:hAnsi="Times New Roman" w:cs="Times New Roman"/>
                            <w:sz w:val="22"/>
                            <w:szCs w:val="22"/>
                          </w:rPr>
                          <w:t>t</w:t>
                        </w:r>
                        <w:r w:rsidR="00506B1D" w:rsidRPr="00A259B8">
                          <w:rPr>
                            <w:rFonts w:ascii="Times New Roman" w:eastAsia="Times New Roman" w:hAnsi="Times New Roman" w:cs="Times New Roman"/>
                            <w:sz w:val="22"/>
                            <w:szCs w:val="22"/>
                          </w:rPr>
                          <w:t xml:space="preserve">wo offices, file room, TELCO room, four Dock doors and levelers (currently installed and operational) with common entry point for inventory control </w:t>
                        </w:r>
                        <w:r w:rsidR="000514F2">
                          <w:rPr>
                            <w:rFonts w:ascii="Times New Roman" w:eastAsia="Times New Roman" w:hAnsi="Times New Roman" w:cs="Times New Roman"/>
                            <w:sz w:val="22"/>
                            <w:szCs w:val="22"/>
                          </w:rPr>
                          <w:t xml:space="preserve">and </w:t>
                        </w:r>
                        <w:r w:rsidR="00506B1D" w:rsidRPr="00A259B8">
                          <w:rPr>
                            <w:rFonts w:ascii="Times New Roman" w:eastAsia="Times New Roman" w:hAnsi="Times New Roman" w:cs="Times New Roman"/>
                            <w:sz w:val="22"/>
                            <w:szCs w:val="22"/>
                          </w:rPr>
                          <w:t>monitoring of materials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2"/>
                            <w:szCs w:val="22"/>
                          </w:rPr>
                          <w:t>”</w:t>
                        </w:r>
                      </w:p>
                      <w:p w14:paraId="32F7AD20" w14:textId="77777777" w:rsidR="00A259B8" w:rsidRDefault="00A259B8" w:rsidP="005F5914">
                        <w:pPr>
                          <w:spacing w:after="0" w:line="240" w:lineRule="auto"/>
                          <w:ind w:right="-10"/>
                          <w:rPr>
                            <w:sz w:val="22"/>
                            <w:szCs w:val="22"/>
                          </w:rPr>
                        </w:pPr>
                      </w:p>
                      <w:p w14:paraId="6425B23F" w14:textId="77777777" w:rsidR="002C6D37" w:rsidRDefault="002C6D37" w:rsidP="005F5914">
                        <w:pPr>
                          <w:spacing w:after="0" w:line="240" w:lineRule="auto"/>
                          <w:ind w:right="-10"/>
                          <w:rPr>
                            <w:sz w:val="22"/>
                            <w:szCs w:val="22"/>
                          </w:rPr>
                        </w:pPr>
                      </w:p>
                      <w:p w14:paraId="0A453B70" w14:textId="77777777" w:rsidR="002C6D37" w:rsidRDefault="002C6D37" w:rsidP="005F5914">
                        <w:pPr>
                          <w:spacing w:after="0" w:line="240" w:lineRule="auto"/>
                          <w:ind w:right="-10"/>
                          <w:rPr>
                            <w:sz w:val="22"/>
                            <w:szCs w:val="22"/>
                          </w:rPr>
                        </w:pPr>
                      </w:p>
                      <w:p w14:paraId="1757A2E0" w14:textId="77777777" w:rsidR="002C6D37" w:rsidRDefault="002C6D37" w:rsidP="002C6D37">
                        <w:pPr>
                          <w:spacing w:after="0" w:line="240" w:lineRule="auto"/>
                          <w:ind w:right="-53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lastRenderedPageBreak/>
                          <w:t>Mr. Arthur L. Sample, IV</w:t>
                        </w:r>
                      </w:p>
                      <w:p w14:paraId="18101D0E" w14:textId="77777777" w:rsidR="002C6D37" w:rsidRDefault="002C6D37" w:rsidP="002C6D37">
                        <w:pPr>
                          <w:spacing w:after="0" w:line="240" w:lineRule="auto"/>
                          <w:ind w:right="-53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January 30, 2023</w:t>
                        </w:r>
                      </w:p>
                      <w:p w14:paraId="3D3765F9" w14:textId="77777777" w:rsidR="002C6D37" w:rsidRDefault="002C6D37" w:rsidP="002C6D37">
                        <w:pPr>
                          <w:spacing w:after="0" w:line="240" w:lineRule="auto"/>
                          <w:ind w:right="-530"/>
                          <w:rPr>
                            <w:sz w:val="22"/>
                            <w:szCs w:val="22"/>
                          </w:rPr>
                        </w:pPr>
                      </w:p>
                      <w:p w14:paraId="5717974A" w14:textId="77777777" w:rsidR="002C6D37" w:rsidRDefault="002C6D37" w:rsidP="005F5914">
                        <w:pPr>
                          <w:spacing w:after="0" w:line="240" w:lineRule="auto"/>
                          <w:ind w:right="-10"/>
                          <w:rPr>
                            <w:sz w:val="22"/>
                            <w:szCs w:val="22"/>
                          </w:rPr>
                        </w:pPr>
                      </w:p>
                      <w:p w14:paraId="78134C00" w14:textId="77777777" w:rsidR="002C6D37" w:rsidRDefault="002C6D37" w:rsidP="005F5914">
                        <w:pPr>
                          <w:spacing w:after="0" w:line="240" w:lineRule="auto"/>
                          <w:ind w:right="-10"/>
                          <w:rPr>
                            <w:sz w:val="22"/>
                            <w:szCs w:val="22"/>
                          </w:rPr>
                        </w:pPr>
                      </w:p>
                      <w:p w14:paraId="4ABD85F3" w14:textId="3F13DD08" w:rsidR="00746AB8" w:rsidRDefault="00000B1D" w:rsidP="005F5914">
                        <w:pPr>
                          <w:spacing w:after="0" w:line="240" w:lineRule="auto"/>
                          <w:ind w:right="-1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 xml:space="preserve">Attached is a revised </w:t>
                        </w:r>
                        <w:r w:rsidR="00591C8F">
                          <w:rPr>
                            <w:sz w:val="22"/>
                            <w:szCs w:val="22"/>
                          </w:rPr>
                          <w:t xml:space="preserve">Site </w:t>
                        </w:r>
                        <w:r>
                          <w:rPr>
                            <w:sz w:val="22"/>
                            <w:szCs w:val="22"/>
                          </w:rPr>
                          <w:t>layout</w:t>
                        </w:r>
                        <w:r w:rsidR="00591C8F">
                          <w:rPr>
                            <w:sz w:val="22"/>
                            <w:szCs w:val="22"/>
                          </w:rPr>
                          <w:t xml:space="preserve"> </w:t>
                        </w:r>
                        <w:r w:rsidR="004F70C3">
                          <w:rPr>
                            <w:sz w:val="22"/>
                            <w:szCs w:val="22"/>
                          </w:rPr>
                          <w:t>drawing</w:t>
                        </w:r>
                        <w:r w:rsidR="00591C8F">
                          <w:rPr>
                            <w:sz w:val="22"/>
                            <w:szCs w:val="22"/>
                          </w:rPr>
                          <w:t xml:space="preserve"> reflecting the above.  </w:t>
                        </w:r>
                        <w:r w:rsidR="00EC5DEF">
                          <w:rPr>
                            <w:sz w:val="22"/>
                            <w:szCs w:val="22"/>
                          </w:rPr>
                          <w:t>T</w:t>
                        </w:r>
                        <w:r w:rsidR="00EA1978">
                          <w:rPr>
                            <w:sz w:val="22"/>
                            <w:szCs w:val="22"/>
                          </w:rPr>
                          <w:t>he revised layout meets or exceeds the RFP requirements</w:t>
                        </w:r>
                        <w:r w:rsidR="00075639">
                          <w:rPr>
                            <w:sz w:val="22"/>
                            <w:szCs w:val="22"/>
                          </w:rPr>
                          <w:t xml:space="preserve"> inclusive of </w:t>
                        </w:r>
                        <w:r w:rsidR="00500D42">
                          <w:rPr>
                            <w:sz w:val="22"/>
                            <w:szCs w:val="22"/>
                          </w:rPr>
                          <w:t xml:space="preserve">the </w:t>
                        </w:r>
                        <w:r w:rsidR="00BD7476">
                          <w:rPr>
                            <w:sz w:val="22"/>
                            <w:szCs w:val="22"/>
                          </w:rPr>
                          <w:t xml:space="preserve">1,000 square feet </w:t>
                        </w:r>
                        <w:r w:rsidR="00B65A87">
                          <w:rPr>
                            <w:sz w:val="22"/>
                            <w:szCs w:val="22"/>
                          </w:rPr>
                          <w:t>for</w:t>
                        </w:r>
                        <w:r w:rsidR="00BD7476">
                          <w:rPr>
                            <w:sz w:val="22"/>
                            <w:szCs w:val="22"/>
                          </w:rPr>
                          <w:t xml:space="preserve"> office space </w:t>
                        </w:r>
                        <w:r w:rsidR="00C00272">
                          <w:rPr>
                            <w:sz w:val="22"/>
                            <w:szCs w:val="22"/>
                          </w:rPr>
                          <w:t xml:space="preserve">as set forth </w:t>
                        </w:r>
                        <w:r w:rsidR="00C32B7A">
                          <w:rPr>
                            <w:sz w:val="22"/>
                            <w:szCs w:val="22"/>
                          </w:rPr>
                          <w:t xml:space="preserve">in the </w:t>
                        </w:r>
                        <w:r w:rsidR="00662E96">
                          <w:rPr>
                            <w:sz w:val="22"/>
                            <w:szCs w:val="22"/>
                          </w:rPr>
                          <w:t xml:space="preserve">CDC </w:t>
                        </w:r>
                        <w:r w:rsidR="00C32B7A">
                          <w:rPr>
                            <w:sz w:val="22"/>
                            <w:szCs w:val="22"/>
                          </w:rPr>
                          <w:t xml:space="preserve">Planning Guidance </w:t>
                        </w:r>
                        <w:r w:rsidR="00D917D7">
                          <w:rPr>
                            <w:sz w:val="22"/>
                            <w:szCs w:val="22"/>
                          </w:rPr>
                          <w:t xml:space="preserve">referenced </w:t>
                        </w:r>
                        <w:r w:rsidR="00C32B7A">
                          <w:rPr>
                            <w:sz w:val="22"/>
                            <w:szCs w:val="22"/>
                          </w:rPr>
                          <w:t>in the RFP</w:t>
                        </w:r>
                        <w:r w:rsidR="005747C1">
                          <w:rPr>
                            <w:sz w:val="22"/>
                            <w:szCs w:val="22"/>
                          </w:rPr>
                          <w:t>.</w:t>
                        </w:r>
                      </w:p>
                      <w:p w14:paraId="2038BB25" w14:textId="77777777" w:rsidR="00746AB8" w:rsidRDefault="00746AB8" w:rsidP="005F5914">
                        <w:pPr>
                          <w:spacing w:after="0" w:line="240" w:lineRule="auto"/>
                          <w:ind w:right="-10"/>
                          <w:rPr>
                            <w:sz w:val="22"/>
                            <w:szCs w:val="22"/>
                          </w:rPr>
                        </w:pPr>
                      </w:p>
                      <w:p w14:paraId="2DA21BE7" w14:textId="2B8156D4" w:rsidR="00591C8F" w:rsidRDefault="00EA1978" w:rsidP="005F5914">
                        <w:pPr>
                          <w:spacing w:after="0" w:line="240" w:lineRule="auto"/>
                          <w:ind w:right="-1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Additionally, a</w:t>
                        </w:r>
                        <w:r w:rsidR="00DE2C88">
                          <w:rPr>
                            <w:sz w:val="22"/>
                            <w:szCs w:val="22"/>
                          </w:rPr>
                          <w:t>s noted in our original RFP submission, the Indiana Stockpile operations will be housed within a</w:t>
                        </w:r>
                        <w:r w:rsidR="00673016">
                          <w:rPr>
                            <w:sz w:val="22"/>
                            <w:szCs w:val="22"/>
                          </w:rPr>
                          <w:t xml:space="preserve"> larger</w:t>
                        </w:r>
                        <w:r w:rsidR="00885A76">
                          <w:rPr>
                            <w:sz w:val="22"/>
                            <w:szCs w:val="22"/>
                          </w:rPr>
                          <w:t xml:space="preserve"> </w:t>
                        </w:r>
                        <w:r w:rsidR="00673016">
                          <w:rPr>
                            <w:sz w:val="22"/>
                            <w:szCs w:val="22"/>
                          </w:rPr>
                          <w:t>e</w:t>
                        </w:r>
                        <w:r w:rsidR="00DE2C88">
                          <w:rPr>
                            <w:sz w:val="22"/>
                            <w:szCs w:val="22"/>
                          </w:rPr>
                          <w:t xml:space="preserve">xisting </w:t>
                        </w:r>
                        <w:r w:rsidR="00544DFB">
                          <w:rPr>
                            <w:sz w:val="22"/>
                            <w:szCs w:val="22"/>
                          </w:rPr>
                          <w:t xml:space="preserve">facility </w:t>
                        </w:r>
                        <w:r w:rsidR="000373FF">
                          <w:rPr>
                            <w:sz w:val="22"/>
                            <w:szCs w:val="22"/>
                          </w:rPr>
                          <w:t xml:space="preserve">(fully occupied </w:t>
                        </w:r>
                        <w:r w:rsidR="00DE3CD3">
                          <w:rPr>
                            <w:sz w:val="22"/>
                            <w:szCs w:val="22"/>
                          </w:rPr>
                          <w:t xml:space="preserve">and </w:t>
                        </w:r>
                        <w:r w:rsidR="00885A76">
                          <w:rPr>
                            <w:sz w:val="22"/>
                            <w:szCs w:val="22"/>
                          </w:rPr>
                          <w:t xml:space="preserve">secured </w:t>
                        </w:r>
                        <w:r w:rsidR="000373FF">
                          <w:rPr>
                            <w:sz w:val="22"/>
                            <w:szCs w:val="22"/>
                          </w:rPr>
                          <w:t>by LSL)</w:t>
                        </w:r>
                        <w:r w:rsidR="00D4720D">
                          <w:rPr>
                            <w:sz w:val="22"/>
                            <w:szCs w:val="22"/>
                          </w:rPr>
                          <w:t xml:space="preserve">.  This </w:t>
                        </w:r>
                        <w:r>
                          <w:rPr>
                            <w:sz w:val="22"/>
                            <w:szCs w:val="22"/>
                          </w:rPr>
                          <w:t>enable</w:t>
                        </w:r>
                        <w:r w:rsidR="00D4720D">
                          <w:rPr>
                            <w:sz w:val="22"/>
                            <w:szCs w:val="22"/>
                          </w:rPr>
                          <w:t>s</w:t>
                        </w:r>
                        <w:r w:rsidR="005353A7">
                          <w:rPr>
                            <w:sz w:val="22"/>
                            <w:szCs w:val="22"/>
                          </w:rPr>
                          <w:t xml:space="preserve"> LSL</w:t>
                        </w:r>
                        <w:r w:rsidR="00C552ED">
                          <w:rPr>
                            <w:sz w:val="22"/>
                            <w:szCs w:val="22"/>
                          </w:rPr>
                          <w:t>’s</w:t>
                        </w:r>
                        <w:r w:rsidR="005353A7">
                          <w:rPr>
                            <w:sz w:val="22"/>
                            <w:szCs w:val="22"/>
                          </w:rPr>
                          <w:t xml:space="preserve"> Indiana Stockpile operation</w:t>
                        </w:r>
                        <w:r w:rsidR="00C552ED">
                          <w:rPr>
                            <w:sz w:val="22"/>
                            <w:szCs w:val="22"/>
                          </w:rPr>
                          <w:t>s</w:t>
                        </w:r>
                        <w:r w:rsidR="005353A7">
                          <w:rPr>
                            <w:sz w:val="22"/>
                            <w:szCs w:val="22"/>
                          </w:rPr>
                          <w:t xml:space="preserve"> team to utilize the extensive office</w:t>
                        </w:r>
                        <w:r w:rsidR="00BC118A">
                          <w:rPr>
                            <w:sz w:val="22"/>
                            <w:szCs w:val="22"/>
                          </w:rPr>
                          <w:t>, breakroom</w:t>
                        </w:r>
                        <w:r w:rsidR="00E02B87">
                          <w:rPr>
                            <w:sz w:val="22"/>
                            <w:szCs w:val="22"/>
                          </w:rPr>
                          <w:t xml:space="preserve"> and other amenities located </w:t>
                        </w:r>
                        <w:r w:rsidR="00C552ED">
                          <w:rPr>
                            <w:sz w:val="22"/>
                            <w:szCs w:val="22"/>
                          </w:rPr>
                          <w:t xml:space="preserve">elsewhere </w:t>
                        </w:r>
                        <w:r w:rsidR="00E02B87">
                          <w:rPr>
                            <w:sz w:val="22"/>
                            <w:szCs w:val="22"/>
                          </w:rPr>
                          <w:t xml:space="preserve">within the </w:t>
                        </w:r>
                        <w:r w:rsidR="00C552ED">
                          <w:rPr>
                            <w:sz w:val="22"/>
                            <w:szCs w:val="22"/>
                          </w:rPr>
                          <w:t>facility</w:t>
                        </w:r>
                        <w:r w:rsidR="00CF36EF">
                          <w:rPr>
                            <w:sz w:val="22"/>
                            <w:szCs w:val="22"/>
                          </w:rPr>
                          <w:t xml:space="preserve"> without additional cost to the State</w:t>
                        </w:r>
                        <w:r w:rsidR="00E02B87">
                          <w:rPr>
                            <w:sz w:val="22"/>
                            <w:szCs w:val="22"/>
                          </w:rPr>
                          <w:t>.</w:t>
                        </w:r>
                      </w:p>
                      <w:p w14:paraId="78067A83" w14:textId="77777777" w:rsidR="00585012" w:rsidRDefault="00585012" w:rsidP="005F5914">
                        <w:pPr>
                          <w:spacing w:after="0" w:line="240" w:lineRule="auto"/>
                          <w:ind w:right="-10"/>
                          <w:rPr>
                            <w:sz w:val="22"/>
                            <w:szCs w:val="22"/>
                          </w:rPr>
                        </w:pPr>
                      </w:p>
                      <w:p w14:paraId="15A3B7ED" w14:textId="40BB9A14" w:rsidR="00BC4149" w:rsidRPr="00F019F0" w:rsidRDefault="00D10D1F" w:rsidP="00A36648">
                        <w:pPr>
                          <w:spacing w:after="0" w:line="240" w:lineRule="auto"/>
                          <w:ind w:right="-53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Please let us know of any questions</w:t>
                        </w:r>
                        <w:r w:rsidR="00D6653E">
                          <w:rPr>
                            <w:sz w:val="22"/>
                            <w:szCs w:val="22"/>
                          </w:rPr>
                          <w:t>.</w:t>
                        </w:r>
                      </w:p>
                      <w:p w14:paraId="05BA2159" w14:textId="5C724C7E" w:rsidR="00BC4149" w:rsidRDefault="00BC4149">
                        <w:pPr>
                          <w:spacing w:after="0" w:line="240" w:lineRule="auto"/>
                          <w:rPr>
                            <w:sz w:val="22"/>
                            <w:szCs w:val="22"/>
                          </w:rPr>
                        </w:pPr>
                      </w:p>
                      <w:p w14:paraId="27ED55E4" w14:textId="77777777" w:rsidR="004C600F" w:rsidRDefault="004C600F">
                        <w:pPr>
                          <w:spacing w:after="0" w:line="240" w:lineRule="auto"/>
                          <w:rPr>
                            <w:sz w:val="22"/>
                            <w:szCs w:val="22"/>
                          </w:rPr>
                        </w:pPr>
                      </w:p>
                      <w:p w14:paraId="45D281A5" w14:textId="63EED51B" w:rsidR="00D20F3C" w:rsidRDefault="00D20F3C">
                        <w:pPr>
                          <w:spacing w:after="0" w:line="240" w:lineRule="auto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Kind regards:</w:t>
                        </w:r>
                      </w:p>
                      <w:p w14:paraId="42D9FF74" w14:textId="77777777" w:rsidR="001757CF" w:rsidRDefault="001757CF">
                        <w:pPr>
                          <w:spacing w:after="0" w:line="240" w:lineRule="auto"/>
                          <w:rPr>
                            <w:sz w:val="22"/>
                            <w:szCs w:val="22"/>
                          </w:rPr>
                        </w:pPr>
                      </w:p>
                      <w:p w14:paraId="072A2EB1" w14:textId="0B202D35" w:rsidR="00D20F3C" w:rsidRDefault="001B30D9">
                        <w:pPr>
                          <w:spacing w:after="0" w:line="240" w:lineRule="auto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David Cheetham</w:t>
                        </w:r>
                      </w:p>
                      <w:p w14:paraId="20295E19" w14:textId="6B3661FF" w:rsidR="00D20F3C" w:rsidRPr="00F019F0" w:rsidRDefault="00D20F3C">
                        <w:pPr>
                          <w:spacing w:after="0" w:line="240" w:lineRule="auto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 xml:space="preserve">Chief </w:t>
                        </w:r>
                        <w:r w:rsidR="001B30D9">
                          <w:rPr>
                            <w:sz w:val="22"/>
                            <w:szCs w:val="22"/>
                          </w:rPr>
                          <w:t xml:space="preserve">Executive </w:t>
                        </w:r>
                        <w:r>
                          <w:rPr>
                            <w:sz w:val="22"/>
                            <w:szCs w:val="22"/>
                          </w:rPr>
                          <w:t>Officer</w:t>
                        </w:r>
                      </w:p>
                      <w:p w14:paraId="0D0B8E4F" w14:textId="57F1E1DD" w:rsidR="00712C31" w:rsidRDefault="00D10D1F" w:rsidP="004172AB">
                        <w:pPr>
                          <w:spacing w:after="0" w:line="240" w:lineRule="auto"/>
                        </w:pPr>
                        <w:r>
                          <w:rPr>
                            <w:sz w:val="22"/>
                            <w:szCs w:val="22"/>
                          </w:rPr>
                          <w:t>dcheetham@lslog.com</w:t>
                        </w:r>
                      </w:p>
                    </w:tc>
                    <w:tc>
                      <w:tcPr>
                        <w:tcW w:w="434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970CEAA" w14:textId="77777777" w:rsidR="00186805" w:rsidRDefault="00186805"/>
                      <w:p w14:paraId="306EBDCD" w14:textId="77777777" w:rsidR="006141CB" w:rsidRDefault="006141CB">
                        <w:pPr>
                          <w:spacing w:after="0" w:line="240" w:lineRule="auto"/>
                        </w:pPr>
                      </w:p>
                    </w:tc>
                  </w:tr>
                </w:tbl>
                <w:p w14:paraId="3B73707D" w14:textId="77777777" w:rsidR="006141CB" w:rsidRDefault="006141CB">
                  <w:pPr>
                    <w:spacing w:after="0" w:line="240" w:lineRule="auto"/>
                  </w:pPr>
                </w:p>
              </w:tc>
              <w:tc>
                <w:tcPr>
                  <w:tcW w:w="187" w:type="dxa"/>
                </w:tcPr>
                <w:p w14:paraId="14E5C91F" w14:textId="77777777" w:rsidR="006141CB" w:rsidRDefault="006141C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2" w:type="dxa"/>
                </w:tcPr>
                <w:p w14:paraId="4E616920" w14:textId="77777777" w:rsidR="006141CB" w:rsidRDefault="006141CB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C75947" w14:paraId="1495E859" w14:textId="77777777">
              <w:trPr>
                <w:trHeight w:val="166"/>
              </w:trPr>
              <w:tc>
                <w:tcPr>
                  <w:tcW w:w="26" w:type="dxa"/>
                </w:tcPr>
                <w:p w14:paraId="5D4D8EA6" w14:textId="77777777" w:rsidR="006141CB" w:rsidRDefault="006141C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6" w:type="dxa"/>
                </w:tcPr>
                <w:p w14:paraId="0366571E" w14:textId="77777777" w:rsidR="006141CB" w:rsidRDefault="006141C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6" w:type="dxa"/>
                </w:tcPr>
                <w:p w14:paraId="0828C117" w14:textId="77777777" w:rsidR="006141CB" w:rsidRDefault="006141C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2" w:type="dxa"/>
                </w:tcPr>
                <w:p w14:paraId="1E8442C2" w14:textId="77777777" w:rsidR="006141CB" w:rsidRDefault="006141C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360" w:type="dxa"/>
                </w:tcPr>
                <w:p w14:paraId="5301D72E" w14:textId="77777777" w:rsidR="006141CB" w:rsidRDefault="006141C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744" w:type="dxa"/>
                </w:tcPr>
                <w:p w14:paraId="08A8DD3A" w14:textId="77777777" w:rsidR="006141CB" w:rsidRDefault="006141C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93" w:type="dxa"/>
                </w:tcPr>
                <w:p w14:paraId="513BA18F" w14:textId="77777777" w:rsidR="006141CB" w:rsidRDefault="006141C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562" w:type="dxa"/>
                </w:tcPr>
                <w:p w14:paraId="77B1BA38" w14:textId="77777777" w:rsidR="006141CB" w:rsidRDefault="006141C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9" w:type="dxa"/>
                </w:tcPr>
                <w:p w14:paraId="7841FD49" w14:textId="77777777" w:rsidR="006141CB" w:rsidRDefault="006141C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87" w:type="dxa"/>
                </w:tcPr>
                <w:p w14:paraId="169EDEF8" w14:textId="77777777" w:rsidR="006141CB" w:rsidRDefault="006141C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2" w:type="dxa"/>
                </w:tcPr>
                <w:p w14:paraId="67DC96E6" w14:textId="77777777" w:rsidR="006141CB" w:rsidRDefault="006141CB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983DF9" w14:paraId="3B8F042C" w14:textId="77777777" w:rsidTr="00983DF9">
              <w:tc>
                <w:tcPr>
                  <w:tcW w:w="26" w:type="dxa"/>
                </w:tcPr>
                <w:p w14:paraId="55FF5C4C" w14:textId="77777777" w:rsidR="006141CB" w:rsidRDefault="006141C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6" w:type="dxa"/>
                  <w:gridSpan w:val="9"/>
                </w:tcPr>
                <w:p w14:paraId="6FD3FA04" w14:textId="77777777" w:rsidR="006141CB" w:rsidRDefault="006141CB">
                  <w:pPr>
                    <w:spacing w:after="0" w:line="240" w:lineRule="auto"/>
                  </w:pPr>
                </w:p>
              </w:tc>
              <w:tc>
                <w:tcPr>
                  <w:tcW w:w="52" w:type="dxa"/>
                </w:tcPr>
                <w:p w14:paraId="6FFF989F" w14:textId="77777777" w:rsidR="006141CB" w:rsidRDefault="006141CB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983DF9" w14:paraId="79DAA571" w14:textId="77777777" w:rsidTr="00983DF9">
              <w:trPr>
                <w:trHeight w:val="231"/>
              </w:trPr>
              <w:tc>
                <w:tcPr>
                  <w:tcW w:w="26" w:type="dxa"/>
                </w:tcPr>
                <w:p w14:paraId="789FE1ED" w14:textId="77777777" w:rsidR="006141CB" w:rsidRDefault="006141C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6" w:type="dxa"/>
                </w:tcPr>
                <w:p w14:paraId="28AB280D" w14:textId="77777777" w:rsidR="006141CB" w:rsidRDefault="006141C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6" w:type="dxa"/>
                  <w:gridSpan w:val="3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40"/>
                  </w:tblGrid>
                  <w:tr w:rsidR="006141CB" w14:paraId="424805EB" w14:textId="77777777">
                    <w:trPr>
                      <w:trHeight w:val="153"/>
                    </w:trPr>
                    <w:tc>
                      <w:tcPr>
                        <w:tcW w:w="14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92C4460" w14:textId="77777777" w:rsidR="006141CB" w:rsidRDefault="006141CB">
                        <w:pPr>
                          <w:spacing w:after="0" w:line="240" w:lineRule="auto"/>
                        </w:pPr>
                      </w:p>
                    </w:tc>
                  </w:tr>
                </w:tbl>
                <w:p w14:paraId="6017E98D" w14:textId="77777777" w:rsidR="006141CB" w:rsidRDefault="006141CB">
                  <w:pPr>
                    <w:spacing w:after="0" w:line="240" w:lineRule="auto"/>
                  </w:pPr>
                </w:p>
              </w:tc>
              <w:tc>
                <w:tcPr>
                  <w:tcW w:w="1744" w:type="dxa"/>
                </w:tcPr>
                <w:p w14:paraId="1D178A87" w14:textId="77777777" w:rsidR="006141CB" w:rsidRDefault="006141C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93" w:type="dxa"/>
                </w:tcPr>
                <w:p w14:paraId="2B2A2919" w14:textId="77777777" w:rsidR="006141CB" w:rsidRDefault="006141C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562" w:type="dxa"/>
                </w:tcPr>
                <w:p w14:paraId="0B776593" w14:textId="77777777" w:rsidR="006141CB" w:rsidRDefault="006141C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9" w:type="dxa"/>
                </w:tcPr>
                <w:p w14:paraId="7E80626F" w14:textId="77777777" w:rsidR="006141CB" w:rsidRDefault="006141C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87" w:type="dxa"/>
                </w:tcPr>
                <w:p w14:paraId="1E4D38B5" w14:textId="77777777" w:rsidR="006141CB" w:rsidRDefault="006141C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2" w:type="dxa"/>
                </w:tcPr>
                <w:p w14:paraId="13853F50" w14:textId="77777777" w:rsidR="006141CB" w:rsidRDefault="006141CB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C75947" w14:paraId="3D391EFC" w14:textId="77777777">
              <w:trPr>
                <w:trHeight w:val="198"/>
              </w:trPr>
              <w:tc>
                <w:tcPr>
                  <w:tcW w:w="26" w:type="dxa"/>
                </w:tcPr>
                <w:p w14:paraId="5409E7E5" w14:textId="77777777" w:rsidR="006141CB" w:rsidRDefault="006141C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6" w:type="dxa"/>
                </w:tcPr>
                <w:p w14:paraId="1B12222C" w14:textId="77777777" w:rsidR="006141CB" w:rsidRDefault="006141C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6" w:type="dxa"/>
                </w:tcPr>
                <w:p w14:paraId="21B5ADA1" w14:textId="77777777" w:rsidR="006141CB" w:rsidRDefault="006141C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2" w:type="dxa"/>
                </w:tcPr>
                <w:p w14:paraId="51D2C371" w14:textId="77777777" w:rsidR="006141CB" w:rsidRDefault="006141C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360" w:type="dxa"/>
                </w:tcPr>
                <w:p w14:paraId="1DA0AA9B" w14:textId="77777777" w:rsidR="006141CB" w:rsidRDefault="006141C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744" w:type="dxa"/>
                </w:tcPr>
                <w:p w14:paraId="37BDCD02" w14:textId="77777777" w:rsidR="006141CB" w:rsidRDefault="006141C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93" w:type="dxa"/>
                </w:tcPr>
                <w:p w14:paraId="076E9142" w14:textId="77777777" w:rsidR="006141CB" w:rsidRDefault="006141C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562" w:type="dxa"/>
                </w:tcPr>
                <w:p w14:paraId="37C7480D" w14:textId="77777777" w:rsidR="006141CB" w:rsidRDefault="006141C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9" w:type="dxa"/>
                </w:tcPr>
                <w:p w14:paraId="7323E19A" w14:textId="77777777" w:rsidR="006141CB" w:rsidRDefault="006141C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87" w:type="dxa"/>
                </w:tcPr>
                <w:p w14:paraId="4292CAB4" w14:textId="77777777" w:rsidR="006141CB" w:rsidRDefault="006141C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2" w:type="dxa"/>
                </w:tcPr>
                <w:p w14:paraId="14773BAD" w14:textId="77777777" w:rsidR="006141CB" w:rsidRDefault="006141CB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983DF9" w14:paraId="0B3E6EA2" w14:textId="77777777" w:rsidTr="00983DF9">
              <w:tc>
                <w:tcPr>
                  <w:tcW w:w="26" w:type="dxa"/>
                  <w:gridSpan w:val="8"/>
                </w:tcPr>
                <w:p w14:paraId="25FFC7B9" w14:textId="77777777" w:rsidR="006141CB" w:rsidRDefault="006141CB">
                  <w:pPr>
                    <w:spacing w:after="0" w:line="240" w:lineRule="auto"/>
                  </w:pPr>
                </w:p>
              </w:tc>
              <w:tc>
                <w:tcPr>
                  <w:tcW w:w="79" w:type="dxa"/>
                </w:tcPr>
                <w:p w14:paraId="33B9C18F" w14:textId="77777777" w:rsidR="006141CB" w:rsidRDefault="006141C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87" w:type="dxa"/>
                </w:tcPr>
                <w:p w14:paraId="78436828" w14:textId="77777777" w:rsidR="006141CB" w:rsidRDefault="006141C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2" w:type="dxa"/>
                </w:tcPr>
                <w:p w14:paraId="4CFFC53C" w14:textId="77777777" w:rsidR="006141CB" w:rsidRDefault="006141CB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C75947" w14:paraId="55ED14AE" w14:textId="77777777">
              <w:trPr>
                <w:trHeight w:val="262"/>
              </w:trPr>
              <w:tc>
                <w:tcPr>
                  <w:tcW w:w="26" w:type="dxa"/>
                </w:tcPr>
                <w:p w14:paraId="7526FC8A" w14:textId="77777777" w:rsidR="006141CB" w:rsidRDefault="006141C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6" w:type="dxa"/>
                </w:tcPr>
                <w:p w14:paraId="73B3231B" w14:textId="77777777" w:rsidR="006141CB" w:rsidRDefault="006141C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6" w:type="dxa"/>
                </w:tcPr>
                <w:p w14:paraId="3A56AF15" w14:textId="77777777" w:rsidR="006141CB" w:rsidRDefault="006141C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2" w:type="dxa"/>
                </w:tcPr>
                <w:p w14:paraId="2A877E3D" w14:textId="77777777" w:rsidR="006141CB" w:rsidRDefault="006141C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360" w:type="dxa"/>
                </w:tcPr>
                <w:p w14:paraId="2B02BA2F" w14:textId="77777777" w:rsidR="006141CB" w:rsidRDefault="006141C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744" w:type="dxa"/>
                </w:tcPr>
                <w:p w14:paraId="22AD769E" w14:textId="77777777" w:rsidR="006141CB" w:rsidRDefault="006141C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93" w:type="dxa"/>
                </w:tcPr>
                <w:p w14:paraId="73AC4132" w14:textId="77777777" w:rsidR="006141CB" w:rsidRDefault="006141C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562" w:type="dxa"/>
                </w:tcPr>
                <w:p w14:paraId="324E050A" w14:textId="77777777" w:rsidR="006141CB" w:rsidRDefault="006141C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9" w:type="dxa"/>
                </w:tcPr>
                <w:p w14:paraId="76241D6E" w14:textId="77777777" w:rsidR="006141CB" w:rsidRDefault="006141C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87" w:type="dxa"/>
                </w:tcPr>
                <w:p w14:paraId="628A0C21" w14:textId="77777777" w:rsidR="006141CB" w:rsidRDefault="006141C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2" w:type="dxa"/>
                </w:tcPr>
                <w:p w14:paraId="650041E7" w14:textId="77777777" w:rsidR="006141CB" w:rsidRDefault="006141CB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14:paraId="033F4848" w14:textId="77777777" w:rsidR="006141CB" w:rsidRDefault="006141CB">
            <w:pPr>
              <w:spacing w:after="0" w:line="240" w:lineRule="auto"/>
            </w:pPr>
          </w:p>
        </w:tc>
        <w:tc>
          <w:tcPr>
            <w:tcW w:w="45" w:type="dxa"/>
          </w:tcPr>
          <w:p w14:paraId="2DC4A94E" w14:textId="77777777" w:rsidR="006141CB" w:rsidRDefault="006141CB">
            <w:pPr>
              <w:pStyle w:val="EmptyCellLayoutStyle"/>
              <w:spacing w:after="0" w:line="240" w:lineRule="auto"/>
            </w:pPr>
          </w:p>
        </w:tc>
      </w:tr>
      <w:tr w:rsidR="006141CB" w14:paraId="1A85AA8A" w14:textId="77777777">
        <w:trPr>
          <w:trHeight w:val="179"/>
        </w:trPr>
        <w:tc>
          <w:tcPr>
            <w:tcW w:w="15" w:type="dxa"/>
          </w:tcPr>
          <w:p w14:paraId="4CDB8EB7" w14:textId="77777777" w:rsidR="006141CB" w:rsidRDefault="006141CB">
            <w:pPr>
              <w:pStyle w:val="EmptyCellLayoutStyle"/>
              <w:spacing w:after="0" w:line="240" w:lineRule="auto"/>
            </w:pPr>
          </w:p>
        </w:tc>
        <w:tc>
          <w:tcPr>
            <w:tcW w:w="9011" w:type="dxa"/>
          </w:tcPr>
          <w:p w14:paraId="1DFEDA13" w14:textId="77777777" w:rsidR="006141CB" w:rsidRDefault="006141CB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14:paraId="5500CB57" w14:textId="77777777" w:rsidR="006141CB" w:rsidRDefault="006141CB">
            <w:pPr>
              <w:pStyle w:val="EmptyCellLayoutStyle"/>
              <w:spacing w:after="0" w:line="240" w:lineRule="auto"/>
            </w:pPr>
          </w:p>
        </w:tc>
      </w:tr>
    </w:tbl>
    <w:p w14:paraId="14EC331F" w14:textId="77777777" w:rsidR="006141CB" w:rsidRDefault="006141CB" w:rsidP="00884082">
      <w:pPr>
        <w:spacing w:after="0" w:line="240" w:lineRule="auto"/>
      </w:pPr>
    </w:p>
    <w:sectPr w:rsidR="006141CB" w:rsidSect="004172A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864" w:right="1440" w:bottom="1260" w:left="1440" w:header="0" w:footer="49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183E83" w14:textId="77777777" w:rsidR="00AC3FAC" w:rsidRDefault="00AC3FAC">
      <w:pPr>
        <w:spacing w:after="0" w:line="240" w:lineRule="auto"/>
      </w:pPr>
      <w:r>
        <w:separator/>
      </w:r>
    </w:p>
  </w:endnote>
  <w:endnote w:type="continuationSeparator" w:id="0">
    <w:p w14:paraId="0EC3B613" w14:textId="77777777" w:rsidR="00AC3FAC" w:rsidRDefault="00AC3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559FC0" w14:textId="77777777" w:rsidR="00BE4E98" w:rsidRDefault="00BE4E9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8A203F" w14:textId="78D851D8" w:rsidR="00BE4E98" w:rsidRDefault="00BE4E98" w:rsidP="00BE4E98">
    <w:pPr>
      <w:pStyle w:val="Footer"/>
      <w:jc w:val="center"/>
    </w:pPr>
    <w:r>
      <w:t>Page 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381A4F" w14:textId="480197A3" w:rsidR="00E606D7" w:rsidRDefault="00BE4E98" w:rsidP="00BE4E98">
    <w:pPr>
      <w:pStyle w:val="Footer"/>
      <w:jc w:val="center"/>
    </w:pPr>
    <w:r>
      <w:t>Page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7FF15C" w14:textId="77777777" w:rsidR="00AC3FAC" w:rsidRDefault="00AC3FAC">
      <w:pPr>
        <w:spacing w:after="0" w:line="240" w:lineRule="auto"/>
      </w:pPr>
      <w:r>
        <w:separator/>
      </w:r>
    </w:p>
  </w:footnote>
  <w:footnote w:type="continuationSeparator" w:id="0">
    <w:p w14:paraId="756ABD10" w14:textId="77777777" w:rsidR="00AC3FAC" w:rsidRDefault="00AC3F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9A70E5" w14:textId="77777777" w:rsidR="00BE4E98" w:rsidRDefault="00BE4E9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609158" w14:textId="77777777" w:rsidR="00BE4E98" w:rsidRDefault="00BE4E9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51E3D0" w14:textId="77777777" w:rsidR="00BE4E98" w:rsidRDefault="00BE4E9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0" w15:restartNumberingAfterBreak="0">
    <w:nsid w:val="0000000B"/>
    <w:multiLevelType w:val="multilevel"/>
    <w:tmpl w:val="0000000B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1" w15:restartNumberingAfterBreak="0">
    <w:nsid w:val="0000000C"/>
    <w:multiLevelType w:val="multilevel"/>
    <w:tmpl w:val="0000000C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2" w15:restartNumberingAfterBreak="0">
    <w:nsid w:val="0000000D"/>
    <w:multiLevelType w:val="multilevel"/>
    <w:tmpl w:val="0000000D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3" w15:restartNumberingAfterBreak="0">
    <w:nsid w:val="0000000E"/>
    <w:multiLevelType w:val="multilevel"/>
    <w:tmpl w:val="0000000E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4" w15:restartNumberingAfterBreak="0">
    <w:nsid w:val="0000000F"/>
    <w:multiLevelType w:val="multilevel"/>
    <w:tmpl w:val="0000000F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5" w15:restartNumberingAfterBreak="0">
    <w:nsid w:val="00000010"/>
    <w:multiLevelType w:val="multilevel"/>
    <w:tmpl w:val="00000010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6" w15:restartNumberingAfterBreak="0">
    <w:nsid w:val="00000011"/>
    <w:multiLevelType w:val="multilevel"/>
    <w:tmpl w:val="00000011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7" w15:restartNumberingAfterBreak="0">
    <w:nsid w:val="00000012"/>
    <w:multiLevelType w:val="multilevel"/>
    <w:tmpl w:val="00000012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8" w15:restartNumberingAfterBreak="0">
    <w:nsid w:val="00000013"/>
    <w:multiLevelType w:val="multilevel"/>
    <w:tmpl w:val="00000013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9" w15:restartNumberingAfterBreak="0">
    <w:nsid w:val="00000014"/>
    <w:multiLevelType w:val="multilevel"/>
    <w:tmpl w:val="00000014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0" w15:restartNumberingAfterBreak="0">
    <w:nsid w:val="00000015"/>
    <w:multiLevelType w:val="multilevel"/>
    <w:tmpl w:val="00000015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1" w15:restartNumberingAfterBreak="0">
    <w:nsid w:val="00000016"/>
    <w:multiLevelType w:val="multilevel"/>
    <w:tmpl w:val="00000016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2" w15:restartNumberingAfterBreak="0">
    <w:nsid w:val="00000017"/>
    <w:multiLevelType w:val="multilevel"/>
    <w:tmpl w:val="00000017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3" w15:restartNumberingAfterBreak="0">
    <w:nsid w:val="00000018"/>
    <w:multiLevelType w:val="multilevel"/>
    <w:tmpl w:val="00000018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4" w15:restartNumberingAfterBreak="0">
    <w:nsid w:val="00000019"/>
    <w:multiLevelType w:val="multilevel"/>
    <w:tmpl w:val="00000019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5" w15:restartNumberingAfterBreak="0">
    <w:nsid w:val="0000001A"/>
    <w:multiLevelType w:val="multilevel"/>
    <w:tmpl w:val="0000001A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6" w15:restartNumberingAfterBreak="0">
    <w:nsid w:val="16C64C5F"/>
    <w:multiLevelType w:val="multilevel"/>
    <w:tmpl w:val="4D121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79975D49"/>
    <w:multiLevelType w:val="hybridMultilevel"/>
    <w:tmpl w:val="1A36F7EE"/>
    <w:lvl w:ilvl="0" w:tplc="5D40BD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7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1CB"/>
    <w:rsid w:val="00000B1D"/>
    <w:rsid w:val="00014C8B"/>
    <w:rsid w:val="00032BEF"/>
    <w:rsid w:val="000333F8"/>
    <w:rsid w:val="000373FF"/>
    <w:rsid w:val="000514F2"/>
    <w:rsid w:val="00071ED9"/>
    <w:rsid w:val="00075639"/>
    <w:rsid w:val="00075CA7"/>
    <w:rsid w:val="00087510"/>
    <w:rsid w:val="0009132E"/>
    <w:rsid w:val="000939FE"/>
    <w:rsid w:val="000B124F"/>
    <w:rsid w:val="000B1F95"/>
    <w:rsid w:val="000C0FAB"/>
    <w:rsid w:val="000C2246"/>
    <w:rsid w:val="000C3ABC"/>
    <w:rsid w:val="000D034F"/>
    <w:rsid w:val="000D4709"/>
    <w:rsid w:val="000D5A90"/>
    <w:rsid w:val="000D6C08"/>
    <w:rsid w:val="000E7853"/>
    <w:rsid w:val="000F2A51"/>
    <w:rsid w:val="00110C32"/>
    <w:rsid w:val="00111775"/>
    <w:rsid w:val="00134CCF"/>
    <w:rsid w:val="0013731B"/>
    <w:rsid w:val="00137933"/>
    <w:rsid w:val="00154225"/>
    <w:rsid w:val="001613DF"/>
    <w:rsid w:val="00163A36"/>
    <w:rsid w:val="00167635"/>
    <w:rsid w:val="001757CF"/>
    <w:rsid w:val="00186805"/>
    <w:rsid w:val="00197822"/>
    <w:rsid w:val="001A5C0F"/>
    <w:rsid w:val="001A79F8"/>
    <w:rsid w:val="001B30D9"/>
    <w:rsid w:val="001D3594"/>
    <w:rsid w:val="001D3FEB"/>
    <w:rsid w:val="001E0016"/>
    <w:rsid w:val="001E2235"/>
    <w:rsid w:val="001E3567"/>
    <w:rsid w:val="001E4DF5"/>
    <w:rsid w:val="001F4D27"/>
    <w:rsid w:val="001F7DC3"/>
    <w:rsid w:val="00204A20"/>
    <w:rsid w:val="00207181"/>
    <w:rsid w:val="0021158A"/>
    <w:rsid w:val="0021772E"/>
    <w:rsid w:val="0022198A"/>
    <w:rsid w:val="00223567"/>
    <w:rsid w:val="00236951"/>
    <w:rsid w:val="00237B53"/>
    <w:rsid w:val="00237C5F"/>
    <w:rsid w:val="002416AA"/>
    <w:rsid w:val="00255E9F"/>
    <w:rsid w:val="00266249"/>
    <w:rsid w:val="002711CF"/>
    <w:rsid w:val="00272AE3"/>
    <w:rsid w:val="00273D3C"/>
    <w:rsid w:val="00275295"/>
    <w:rsid w:val="002907D4"/>
    <w:rsid w:val="002943FA"/>
    <w:rsid w:val="00295CBB"/>
    <w:rsid w:val="002A5F30"/>
    <w:rsid w:val="002A6BC0"/>
    <w:rsid w:val="002C39EC"/>
    <w:rsid w:val="002C5B2E"/>
    <w:rsid w:val="002C6D37"/>
    <w:rsid w:val="002D297A"/>
    <w:rsid w:val="002E0055"/>
    <w:rsid w:val="002F2603"/>
    <w:rsid w:val="0032216C"/>
    <w:rsid w:val="00325416"/>
    <w:rsid w:val="0032708D"/>
    <w:rsid w:val="00327BDB"/>
    <w:rsid w:val="00330CA5"/>
    <w:rsid w:val="00342263"/>
    <w:rsid w:val="003522D2"/>
    <w:rsid w:val="00355ED4"/>
    <w:rsid w:val="00355EF9"/>
    <w:rsid w:val="00365EE1"/>
    <w:rsid w:val="00366DFA"/>
    <w:rsid w:val="00367631"/>
    <w:rsid w:val="0037118C"/>
    <w:rsid w:val="003747CA"/>
    <w:rsid w:val="00374832"/>
    <w:rsid w:val="003B267A"/>
    <w:rsid w:val="003B7E25"/>
    <w:rsid w:val="003C16F1"/>
    <w:rsid w:val="003C6CF1"/>
    <w:rsid w:val="003C7860"/>
    <w:rsid w:val="003D7095"/>
    <w:rsid w:val="003F0920"/>
    <w:rsid w:val="003F2051"/>
    <w:rsid w:val="00401522"/>
    <w:rsid w:val="00405904"/>
    <w:rsid w:val="00414FE6"/>
    <w:rsid w:val="00415A63"/>
    <w:rsid w:val="004172AB"/>
    <w:rsid w:val="004174B3"/>
    <w:rsid w:val="00422C87"/>
    <w:rsid w:val="004269B3"/>
    <w:rsid w:val="00434F8B"/>
    <w:rsid w:val="004439E6"/>
    <w:rsid w:val="0045786D"/>
    <w:rsid w:val="00470296"/>
    <w:rsid w:val="004706F1"/>
    <w:rsid w:val="004776C4"/>
    <w:rsid w:val="00485246"/>
    <w:rsid w:val="00487EBB"/>
    <w:rsid w:val="004908DE"/>
    <w:rsid w:val="004B2802"/>
    <w:rsid w:val="004B4747"/>
    <w:rsid w:val="004B726B"/>
    <w:rsid w:val="004C3755"/>
    <w:rsid w:val="004C600F"/>
    <w:rsid w:val="004C77C4"/>
    <w:rsid w:val="004C7974"/>
    <w:rsid w:val="004E483F"/>
    <w:rsid w:val="004F1943"/>
    <w:rsid w:val="004F1E12"/>
    <w:rsid w:val="004F70C3"/>
    <w:rsid w:val="00500D42"/>
    <w:rsid w:val="00506B1D"/>
    <w:rsid w:val="00514C14"/>
    <w:rsid w:val="00516C38"/>
    <w:rsid w:val="00522476"/>
    <w:rsid w:val="005240C9"/>
    <w:rsid w:val="00527A2C"/>
    <w:rsid w:val="00531857"/>
    <w:rsid w:val="00531E39"/>
    <w:rsid w:val="005353A7"/>
    <w:rsid w:val="00544DFB"/>
    <w:rsid w:val="0056255E"/>
    <w:rsid w:val="005747C1"/>
    <w:rsid w:val="00585012"/>
    <w:rsid w:val="00591256"/>
    <w:rsid w:val="00591C8F"/>
    <w:rsid w:val="00592C1F"/>
    <w:rsid w:val="00596C2F"/>
    <w:rsid w:val="005A00C9"/>
    <w:rsid w:val="005A6AB6"/>
    <w:rsid w:val="005B31FE"/>
    <w:rsid w:val="005B6646"/>
    <w:rsid w:val="005C082F"/>
    <w:rsid w:val="005E464B"/>
    <w:rsid w:val="005F5914"/>
    <w:rsid w:val="005F6AEB"/>
    <w:rsid w:val="00600F44"/>
    <w:rsid w:val="00611C29"/>
    <w:rsid w:val="006141CB"/>
    <w:rsid w:val="00623A63"/>
    <w:rsid w:val="00632C0F"/>
    <w:rsid w:val="00634C99"/>
    <w:rsid w:val="006374B6"/>
    <w:rsid w:val="00641755"/>
    <w:rsid w:val="00647A15"/>
    <w:rsid w:val="00662E96"/>
    <w:rsid w:val="00673016"/>
    <w:rsid w:val="00680964"/>
    <w:rsid w:val="006835EB"/>
    <w:rsid w:val="00683CB8"/>
    <w:rsid w:val="006862FC"/>
    <w:rsid w:val="00686474"/>
    <w:rsid w:val="006923E3"/>
    <w:rsid w:val="00693091"/>
    <w:rsid w:val="006A13E7"/>
    <w:rsid w:val="006B6399"/>
    <w:rsid w:val="006C1E5C"/>
    <w:rsid w:val="006D6C3D"/>
    <w:rsid w:val="006E3CFA"/>
    <w:rsid w:val="006E4F53"/>
    <w:rsid w:val="00700E8E"/>
    <w:rsid w:val="00701AB3"/>
    <w:rsid w:val="00701EA7"/>
    <w:rsid w:val="00702EF4"/>
    <w:rsid w:val="00705127"/>
    <w:rsid w:val="00707A46"/>
    <w:rsid w:val="00712C31"/>
    <w:rsid w:val="00713365"/>
    <w:rsid w:val="00720D55"/>
    <w:rsid w:val="0072741A"/>
    <w:rsid w:val="00740C4E"/>
    <w:rsid w:val="007455BE"/>
    <w:rsid w:val="00746AB8"/>
    <w:rsid w:val="0075337E"/>
    <w:rsid w:val="00754C30"/>
    <w:rsid w:val="00755950"/>
    <w:rsid w:val="00760500"/>
    <w:rsid w:val="007678B7"/>
    <w:rsid w:val="00774276"/>
    <w:rsid w:val="00782534"/>
    <w:rsid w:val="00792875"/>
    <w:rsid w:val="007A1E20"/>
    <w:rsid w:val="007C1058"/>
    <w:rsid w:val="007D00C6"/>
    <w:rsid w:val="007D725D"/>
    <w:rsid w:val="007E49D4"/>
    <w:rsid w:val="007E54AA"/>
    <w:rsid w:val="00802120"/>
    <w:rsid w:val="008037D0"/>
    <w:rsid w:val="008135AC"/>
    <w:rsid w:val="008204AE"/>
    <w:rsid w:val="00843F3A"/>
    <w:rsid w:val="008461E5"/>
    <w:rsid w:val="008573FE"/>
    <w:rsid w:val="008826D2"/>
    <w:rsid w:val="00884082"/>
    <w:rsid w:val="0088516C"/>
    <w:rsid w:val="00885A76"/>
    <w:rsid w:val="00891647"/>
    <w:rsid w:val="008929DF"/>
    <w:rsid w:val="008A33AC"/>
    <w:rsid w:val="008B021B"/>
    <w:rsid w:val="008B236B"/>
    <w:rsid w:val="008B283B"/>
    <w:rsid w:val="008B4873"/>
    <w:rsid w:val="008B723A"/>
    <w:rsid w:val="008C0A26"/>
    <w:rsid w:val="008C480C"/>
    <w:rsid w:val="008C4AD1"/>
    <w:rsid w:val="008E357A"/>
    <w:rsid w:val="008F7FEB"/>
    <w:rsid w:val="00902CD1"/>
    <w:rsid w:val="00903D18"/>
    <w:rsid w:val="009060A1"/>
    <w:rsid w:val="00931E78"/>
    <w:rsid w:val="009355CC"/>
    <w:rsid w:val="00936ECF"/>
    <w:rsid w:val="009471B7"/>
    <w:rsid w:val="00954C64"/>
    <w:rsid w:val="00965D90"/>
    <w:rsid w:val="00966FD0"/>
    <w:rsid w:val="009730F2"/>
    <w:rsid w:val="00982666"/>
    <w:rsid w:val="00983DF9"/>
    <w:rsid w:val="0098550B"/>
    <w:rsid w:val="00985C7A"/>
    <w:rsid w:val="009927B8"/>
    <w:rsid w:val="009A4757"/>
    <w:rsid w:val="009B20C4"/>
    <w:rsid w:val="009B5AAC"/>
    <w:rsid w:val="009B70DC"/>
    <w:rsid w:val="009C6E95"/>
    <w:rsid w:val="009D5056"/>
    <w:rsid w:val="009E72A5"/>
    <w:rsid w:val="00A0050C"/>
    <w:rsid w:val="00A027AB"/>
    <w:rsid w:val="00A17451"/>
    <w:rsid w:val="00A21A38"/>
    <w:rsid w:val="00A259B8"/>
    <w:rsid w:val="00A2628E"/>
    <w:rsid w:val="00A34483"/>
    <w:rsid w:val="00A3579D"/>
    <w:rsid w:val="00A36648"/>
    <w:rsid w:val="00A37637"/>
    <w:rsid w:val="00A43212"/>
    <w:rsid w:val="00A46108"/>
    <w:rsid w:val="00A46FCB"/>
    <w:rsid w:val="00A54199"/>
    <w:rsid w:val="00A6381A"/>
    <w:rsid w:val="00A64D24"/>
    <w:rsid w:val="00A727FD"/>
    <w:rsid w:val="00A744C0"/>
    <w:rsid w:val="00A95F20"/>
    <w:rsid w:val="00AA12AA"/>
    <w:rsid w:val="00AC3FAC"/>
    <w:rsid w:val="00AC59D1"/>
    <w:rsid w:val="00AD2F8C"/>
    <w:rsid w:val="00AE0BD4"/>
    <w:rsid w:val="00AF0125"/>
    <w:rsid w:val="00B054F3"/>
    <w:rsid w:val="00B14176"/>
    <w:rsid w:val="00B20627"/>
    <w:rsid w:val="00B230A1"/>
    <w:rsid w:val="00B232BA"/>
    <w:rsid w:val="00B3792D"/>
    <w:rsid w:val="00B4244D"/>
    <w:rsid w:val="00B53B64"/>
    <w:rsid w:val="00B65A87"/>
    <w:rsid w:val="00B702EE"/>
    <w:rsid w:val="00B70686"/>
    <w:rsid w:val="00BA5964"/>
    <w:rsid w:val="00BA6046"/>
    <w:rsid w:val="00BC118A"/>
    <w:rsid w:val="00BC1C31"/>
    <w:rsid w:val="00BC4149"/>
    <w:rsid w:val="00BC5784"/>
    <w:rsid w:val="00BD7476"/>
    <w:rsid w:val="00BE45FB"/>
    <w:rsid w:val="00BE4E98"/>
    <w:rsid w:val="00BE618B"/>
    <w:rsid w:val="00BE6A8F"/>
    <w:rsid w:val="00C00272"/>
    <w:rsid w:val="00C069D0"/>
    <w:rsid w:val="00C16471"/>
    <w:rsid w:val="00C32B7A"/>
    <w:rsid w:val="00C34E6C"/>
    <w:rsid w:val="00C37E59"/>
    <w:rsid w:val="00C40916"/>
    <w:rsid w:val="00C4332D"/>
    <w:rsid w:val="00C50948"/>
    <w:rsid w:val="00C552ED"/>
    <w:rsid w:val="00C63913"/>
    <w:rsid w:val="00C63D92"/>
    <w:rsid w:val="00C70973"/>
    <w:rsid w:val="00C75947"/>
    <w:rsid w:val="00C91A98"/>
    <w:rsid w:val="00C95A2C"/>
    <w:rsid w:val="00C972D5"/>
    <w:rsid w:val="00CB1724"/>
    <w:rsid w:val="00CC2C18"/>
    <w:rsid w:val="00CC6A93"/>
    <w:rsid w:val="00CD50BE"/>
    <w:rsid w:val="00CD6C2D"/>
    <w:rsid w:val="00CE4C24"/>
    <w:rsid w:val="00CE7DE1"/>
    <w:rsid w:val="00CF36EF"/>
    <w:rsid w:val="00D10D1F"/>
    <w:rsid w:val="00D20F3C"/>
    <w:rsid w:val="00D2202A"/>
    <w:rsid w:val="00D224AA"/>
    <w:rsid w:val="00D2788E"/>
    <w:rsid w:val="00D460FF"/>
    <w:rsid w:val="00D4720D"/>
    <w:rsid w:val="00D54591"/>
    <w:rsid w:val="00D606DC"/>
    <w:rsid w:val="00D6653E"/>
    <w:rsid w:val="00D74D01"/>
    <w:rsid w:val="00D833CD"/>
    <w:rsid w:val="00D858D9"/>
    <w:rsid w:val="00D917D7"/>
    <w:rsid w:val="00D931A4"/>
    <w:rsid w:val="00DA2A53"/>
    <w:rsid w:val="00DB1F64"/>
    <w:rsid w:val="00DB6926"/>
    <w:rsid w:val="00DC0E97"/>
    <w:rsid w:val="00DD08BD"/>
    <w:rsid w:val="00DD669B"/>
    <w:rsid w:val="00DE2C88"/>
    <w:rsid w:val="00DE3CD3"/>
    <w:rsid w:val="00DF41D4"/>
    <w:rsid w:val="00E02B87"/>
    <w:rsid w:val="00E06982"/>
    <w:rsid w:val="00E13A3F"/>
    <w:rsid w:val="00E16682"/>
    <w:rsid w:val="00E24203"/>
    <w:rsid w:val="00E334DE"/>
    <w:rsid w:val="00E37524"/>
    <w:rsid w:val="00E43BEA"/>
    <w:rsid w:val="00E43C9D"/>
    <w:rsid w:val="00E44BE6"/>
    <w:rsid w:val="00E45637"/>
    <w:rsid w:val="00E50DBF"/>
    <w:rsid w:val="00E606D7"/>
    <w:rsid w:val="00E730D8"/>
    <w:rsid w:val="00E80103"/>
    <w:rsid w:val="00E81AE8"/>
    <w:rsid w:val="00E86EA9"/>
    <w:rsid w:val="00E87AC2"/>
    <w:rsid w:val="00E966E2"/>
    <w:rsid w:val="00E977F4"/>
    <w:rsid w:val="00EA1912"/>
    <w:rsid w:val="00EA1978"/>
    <w:rsid w:val="00EA334F"/>
    <w:rsid w:val="00EB0B63"/>
    <w:rsid w:val="00EC08D9"/>
    <w:rsid w:val="00EC21B1"/>
    <w:rsid w:val="00EC5DEF"/>
    <w:rsid w:val="00EE0CE5"/>
    <w:rsid w:val="00EF05CD"/>
    <w:rsid w:val="00EF3697"/>
    <w:rsid w:val="00F019F0"/>
    <w:rsid w:val="00F1248A"/>
    <w:rsid w:val="00F12F48"/>
    <w:rsid w:val="00F169D3"/>
    <w:rsid w:val="00F21BF7"/>
    <w:rsid w:val="00F244B8"/>
    <w:rsid w:val="00F267A6"/>
    <w:rsid w:val="00F312E6"/>
    <w:rsid w:val="00F31410"/>
    <w:rsid w:val="00F3238E"/>
    <w:rsid w:val="00F403D2"/>
    <w:rsid w:val="00F44349"/>
    <w:rsid w:val="00F57655"/>
    <w:rsid w:val="00F609B8"/>
    <w:rsid w:val="00F71C0B"/>
    <w:rsid w:val="00F72051"/>
    <w:rsid w:val="00F93FB9"/>
    <w:rsid w:val="00FA0F26"/>
    <w:rsid w:val="00FA659D"/>
    <w:rsid w:val="00FB229C"/>
    <w:rsid w:val="00FB2ED0"/>
    <w:rsid w:val="00FD28D9"/>
    <w:rsid w:val="00FD2980"/>
    <w:rsid w:val="00FD3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3F645B3"/>
  <w15:docId w15:val="{1C72E2AC-607C-4E36-9D3F-2DE2460A2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mptyCellLayoutStyle">
    <w:name w:val="EmptyCellLayoutStyle"/>
    <w:rPr>
      <w:sz w:val="2"/>
    </w:rPr>
  </w:style>
  <w:style w:type="paragraph" w:styleId="Header">
    <w:name w:val="header"/>
    <w:basedOn w:val="Normal"/>
    <w:link w:val="HeaderChar"/>
    <w:uiPriority w:val="99"/>
    <w:unhideWhenUsed/>
    <w:rsid w:val="00C37E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7E59"/>
  </w:style>
  <w:style w:type="paragraph" w:styleId="Footer">
    <w:name w:val="footer"/>
    <w:basedOn w:val="Normal"/>
    <w:link w:val="FooterChar"/>
    <w:uiPriority w:val="99"/>
    <w:unhideWhenUsed/>
    <w:rsid w:val="00C37E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7E59"/>
  </w:style>
  <w:style w:type="character" w:styleId="Hyperlink">
    <w:name w:val="Hyperlink"/>
    <w:basedOn w:val="DefaultParagraphFont"/>
    <w:uiPriority w:val="99"/>
    <w:semiHidden/>
    <w:unhideWhenUsed/>
    <w:rsid w:val="00BC414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C0E97"/>
    <w:pPr>
      <w:ind w:left="720"/>
      <w:contextualSpacing/>
    </w:pPr>
  </w:style>
  <w:style w:type="paragraph" w:customStyle="1" w:styleId="xmsolistparagraph">
    <w:name w:val="x_msolistparagraph"/>
    <w:basedOn w:val="Normal"/>
    <w:rsid w:val="003B267A"/>
    <w:pPr>
      <w:spacing w:after="0" w:line="240" w:lineRule="auto"/>
      <w:ind w:left="720"/>
    </w:pPr>
    <w:rPr>
      <w:rFonts w:ascii="Calibri" w:eastAsiaTheme="minorHAns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250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sample@idoa.in.gov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ClientInvoiceReport1</vt:lpstr>
    </vt:vector>
  </TitlesOfParts>
  <Company/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ClientInvoiceReport1</dc:title>
  <dc:creator>Sam Choi</dc:creator>
  <dc:description/>
  <cp:lastModifiedBy>Peyton Dickman</cp:lastModifiedBy>
  <cp:revision>27</cp:revision>
  <cp:lastPrinted>2022-10-17T14:20:00Z</cp:lastPrinted>
  <dcterms:created xsi:type="dcterms:W3CDTF">2023-01-30T18:52:00Z</dcterms:created>
  <dcterms:modified xsi:type="dcterms:W3CDTF">2023-01-30T19:20:00Z</dcterms:modified>
</cp:coreProperties>
</file>